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黑体" w:cs="Times New Roman"/>
          <w:b/>
          <w:bCs/>
          <w:sz w:val="36"/>
          <w:szCs w:val="36"/>
        </w:rPr>
      </w:pPr>
      <w:r>
        <w:rPr>
          <w:rFonts w:hint="eastAsia" w:ascii="Times New Roman" w:hAnsi="Times New Roman" w:eastAsia="黑体" w:cs="Times New Roman"/>
          <w:b/>
          <w:bCs/>
          <w:sz w:val="36"/>
          <w:szCs w:val="36"/>
          <w:u w:val="none"/>
          <w:lang w:eastAsia="zh-CN"/>
        </w:rPr>
        <w:t>食品药品监督管理</w:t>
      </w:r>
      <w:r>
        <w:rPr>
          <w:rFonts w:hint="eastAsia" w:ascii="Times New Roman" w:hAnsi="Times New Roman" w:eastAsia="黑体" w:cs="Times New Roman"/>
          <w:b/>
          <w:bCs/>
          <w:sz w:val="36"/>
          <w:szCs w:val="36"/>
        </w:rPr>
        <w:t>专业人才培养方案</w:t>
      </w:r>
    </w:p>
    <w:p>
      <w:pPr>
        <w:spacing w:line="560" w:lineRule="exact"/>
        <w:jc w:val="center"/>
        <w:rPr>
          <w:rFonts w:ascii="Times New Roman" w:hAnsi="Times New Roman" w:eastAsia="黑体" w:cs="Times New Roman"/>
          <w:b/>
          <w:bCs/>
          <w:sz w:val="36"/>
          <w:szCs w:val="36"/>
        </w:rPr>
      </w:pPr>
      <w:r>
        <w:rPr>
          <w:rFonts w:hint="eastAsia" w:ascii="Times New Roman" w:hAnsi="Times New Roman" w:eastAsia="黑体" w:cs="Times New Roman"/>
          <w:b/>
          <w:bCs/>
          <w:sz w:val="36"/>
          <w:szCs w:val="36"/>
        </w:rPr>
        <w:t>（五年制高职）</w:t>
      </w:r>
    </w:p>
    <w:p>
      <w:pPr>
        <w:ind w:firstLine="482" w:firstLineChars="200"/>
        <w:rPr>
          <w:rFonts w:ascii="Times New Roman" w:hAnsi="Times New Roman" w:eastAsia="黑体" w:cs="Times New Roman"/>
          <w:b/>
          <w:sz w:val="24"/>
          <w:szCs w:val="24"/>
        </w:rPr>
      </w:pPr>
      <w:r>
        <w:rPr>
          <w:rFonts w:hint="eastAsia" w:ascii="Times New Roman" w:hAnsi="黑体" w:eastAsia="黑体" w:cs="Times New Roman"/>
          <w:b/>
          <w:sz w:val="24"/>
          <w:szCs w:val="24"/>
        </w:rPr>
        <w:t>一、专业名称及代码</w:t>
      </w:r>
    </w:p>
    <w:p>
      <w:pPr>
        <w:spacing w:line="460" w:lineRule="exact"/>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专业名称</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食品药品监督管理</w:t>
      </w:r>
    </w:p>
    <w:p>
      <w:pPr>
        <w:spacing w:line="460" w:lineRule="exact"/>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专业代码</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590305</w:t>
      </w:r>
    </w:p>
    <w:p>
      <w:pPr>
        <w:ind w:firstLine="482" w:firstLineChars="200"/>
        <w:rPr>
          <w:rFonts w:ascii="Times New Roman" w:hAnsi="Times New Roman" w:eastAsia="黑体" w:cs="Times New Roman"/>
          <w:b/>
          <w:sz w:val="24"/>
          <w:szCs w:val="24"/>
        </w:rPr>
      </w:pPr>
      <w:r>
        <w:rPr>
          <w:rFonts w:hint="eastAsia" w:ascii="Times New Roman" w:hAnsi="黑体" w:eastAsia="黑体" w:cs="Times New Roman"/>
          <w:b/>
          <w:sz w:val="24"/>
          <w:szCs w:val="24"/>
        </w:rPr>
        <w:t>二、招生对象</w:t>
      </w:r>
    </w:p>
    <w:p>
      <w:pPr>
        <w:spacing w:line="46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普通初中毕业生或具有同等学历者</w:t>
      </w:r>
    </w:p>
    <w:p>
      <w:pPr>
        <w:overflowPunct w:val="0"/>
        <w:adjustRightInd w:val="0"/>
        <w:spacing w:line="312" w:lineRule="auto"/>
        <w:ind w:firstLine="482" w:firstLineChars="200"/>
        <w:outlineLvl w:val="0"/>
        <w:rPr>
          <w:rFonts w:ascii="Times New Roman" w:hAnsi="黑体" w:eastAsia="黑体" w:cs="Times New Roman"/>
          <w:b/>
          <w:sz w:val="24"/>
          <w:szCs w:val="24"/>
        </w:rPr>
      </w:pPr>
      <w:r>
        <w:rPr>
          <w:rFonts w:hint="eastAsia" w:ascii="Times New Roman" w:hAnsi="黑体" w:eastAsia="黑体" w:cs="Times New Roman"/>
          <w:b/>
          <w:sz w:val="24"/>
          <w:szCs w:val="24"/>
        </w:rPr>
        <w:t>三、修业年限</w:t>
      </w:r>
    </w:p>
    <w:p>
      <w:pPr>
        <w:spacing w:line="46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学制：五年</w:t>
      </w:r>
    </w:p>
    <w:p>
      <w:pPr>
        <w:ind w:firstLine="482" w:firstLineChars="200"/>
        <w:rPr>
          <w:rFonts w:ascii="Times New Roman" w:hAnsi="黑体" w:eastAsia="黑体" w:cs="Times New Roman"/>
          <w:b/>
          <w:sz w:val="24"/>
          <w:szCs w:val="24"/>
        </w:rPr>
      </w:pPr>
      <w:r>
        <w:rPr>
          <w:rFonts w:hint="eastAsia" w:ascii="Times New Roman" w:hAnsi="黑体" w:eastAsia="黑体" w:cs="Times New Roman"/>
          <w:b/>
          <w:sz w:val="24"/>
          <w:szCs w:val="24"/>
        </w:rPr>
        <w:t>四、职业面向</w:t>
      </w:r>
    </w:p>
    <w:tbl>
      <w:tblPr>
        <w:tblStyle w:val="23"/>
        <w:tblW w:w="87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2"/>
        <w:gridCol w:w="1151"/>
        <w:gridCol w:w="1520"/>
        <w:gridCol w:w="1984"/>
        <w:gridCol w:w="1701"/>
        <w:gridCol w:w="12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1" w:hRule="atLeast"/>
          <w:jc w:val="center"/>
        </w:trPr>
        <w:tc>
          <w:tcPr>
            <w:tcW w:w="115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b/>
                <w:bCs/>
                <w:sz w:val="24"/>
                <w:szCs w:val="24"/>
              </w:rPr>
            </w:pPr>
            <w:r>
              <w:rPr>
                <w:rFonts w:hint="eastAsia" w:ascii="宋体" w:hAnsi="宋体" w:eastAsia="宋体"/>
                <w:b/>
                <w:bCs/>
                <w:sz w:val="24"/>
                <w:szCs w:val="24"/>
              </w:rPr>
              <w:t>所属专业大类（代码）</w:t>
            </w:r>
          </w:p>
        </w:tc>
        <w:tc>
          <w:tcPr>
            <w:tcW w:w="115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b/>
                <w:bCs/>
                <w:sz w:val="24"/>
                <w:szCs w:val="24"/>
              </w:rPr>
            </w:pPr>
            <w:r>
              <w:rPr>
                <w:rFonts w:hint="eastAsia" w:ascii="宋体" w:hAnsi="宋体" w:eastAsia="宋体"/>
                <w:b/>
                <w:bCs/>
                <w:sz w:val="24"/>
                <w:szCs w:val="24"/>
              </w:rPr>
              <w:t>所属专业类（代码）</w:t>
            </w:r>
          </w:p>
        </w:tc>
        <w:tc>
          <w:tcPr>
            <w:tcW w:w="15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b/>
                <w:bCs/>
                <w:sz w:val="24"/>
                <w:szCs w:val="24"/>
              </w:rPr>
            </w:pPr>
            <w:r>
              <w:rPr>
                <w:rFonts w:hint="eastAsia" w:ascii="宋体" w:hAnsi="宋体" w:eastAsia="宋体"/>
                <w:b/>
                <w:bCs/>
                <w:sz w:val="24"/>
                <w:szCs w:val="24"/>
              </w:rPr>
              <w:t>对应行业（代码）</w:t>
            </w:r>
          </w:p>
        </w:tc>
        <w:tc>
          <w:tcPr>
            <w:tcW w:w="198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b/>
                <w:bCs/>
                <w:sz w:val="24"/>
                <w:szCs w:val="24"/>
              </w:rPr>
            </w:pPr>
            <w:r>
              <w:rPr>
                <w:rFonts w:hint="eastAsia" w:ascii="宋体" w:hAnsi="宋体" w:eastAsia="宋体"/>
                <w:b/>
                <w:bCs/>
                <w:sz w:val="24"/>
                <w:szCs w:val="24"/>
              </w:rPr>
              <w:t>主要职业类别（代码）</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b/>
                <w:bCs/>
                <w:sz w:val="24"/>
                <w:szCs w:val="24"/>
              </w:rPr>
            </w:pPr>
            <w:r>
              <w:rPr>
                <w:rFonts w:hint="eastAsia" w:ascii="宋体" w:hAnsi="宋体" w:eastAsia="宋体"/>
                <w:b/>
                <w:bCs/>
                <w:sz w:val="24"/>
                <w:szCs w:val="24"/>
              </w:rPr>
              <w:t>主要岗位类别（或技术领域）</w:t>
            </w:r>
          </w:p>
        </w:tc>
        <w:tc>
          <w:tcPr>
            <w:tcW w:w="12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b/>
                <w:bCs/>
                <w:sz w:val="24"/>
                <w:szCs w:val="24"/>
              </w:rPr>
            </w:pPr>
            <w:r>
              <w:rPr>
                <w:rFonts w:hint="eastAsia" w:ascii="宋体" w:hAnsi="宋体" w:eastAsia="宋体"/>
                <w:b/>
                <w:bCs/>
                <w:sz w:val="24"/>
                <w:szCs w:val="24"/>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2" w:hRule="atLeast"/>
          <w:jc w:val="center"/>
        </w:trPr>
        <w:tc>
          <w:tcPr>
            <w:tcW w:w="1152" w:type="dxa"/>
            <w:vAlign w:val="center"/>
          </w:tcPr>
          <w:p>
            <w:pPr>
              <w:jc w:val="center"/>
              <w:rPr>
                <w:rFonts w:hint="eastAsia" w:ascii="宋体" w:hAnsi="宋体" w:eastAsia="宋体"/>
                <w:sz w:val="24"/>
                <w:szCs w:val="24"/>
              </w:rPr>
            </w:pPr>
            <w:r>
              <w:rPr>
                <w:rFonts w:hint="eastAsia" w:ascii="宋体" w:hAnsi="宋体" w:eastAsia="宋体"/>
                <w:sz w:val="24"/>
                <w:szCs w:val="24"/>
              </w:rPr>
              <w:t>食品药品与粮食大类</w:t>
            </w:r>
          </w:p>
          <w:p>
            <w:pPr>
              <w:jc w:val="center"/>
              <w:rPr>
                <w:rFonts w:hint="eastAsia" w:ascii="宋体" w:hAnsi="宋体" w:eastAsia="宋体"/>
                <w:sz w:val="24"/>
                <w:szCs w:val="24"/>
              </w:rPr>
            </w:pPr>
            <w:r>
              <w:rPr>
                <w:rFonts w:hint="eastAsia" w:ascii="宋体" w:hAnsi="宋体" w:eastAsia="宋体"/>
                <w:sz w:val="24"/>
                <w:szCs w:val="24"/>
              </w:rPr>
              <w:t>（59）</w:t>
            </w:r>
          </w:p>
        </w:tc>
        <w:tc>
          <w:tcPr>
            <w:tcW w:w="1151" w:type="dxa"/>
            <w:vAlign w:val="center"/>
          </w:tcPr>
          <w:p>
            <w:pPr>
              <w:jc w:val="center"/>
              <w:rPr>
                <w:rFonts w:hint="eastAsia" w:ascii="宋体" w:hAnsi="宋体" w:eastAsia="宋体"/>
                <w:sz w:val="24"/>
                <w:szCs w:val="24"/>
              </w:rPr>
            </w:pPr>
            <w:r>
              <w:rPr>
                <w:rFonts w:hint="eastAsia" w:ascii="宋体" w:hAnsi="宋体" w:eastAsia="宋体"/>
                <w:sz w:val="24"/>
                <w:szCs w:val="24"/>
              </w:rPr>
              <w:t>食品药品管理类（5903）</w:t>
            </w:r>
          </w:p>
        </w:tc>
        <w:tc>
          <w:tcPr>
            <w:tcW w:w="1520" w:type="dxa"/>
            <w:vAlign w:val="center"/>
          </w:tcPr>
          <w:p>
            <w:pPr>
              <w:jc w:val="center"/>
              <w:rPr>
                <w:rFonts w:hint="eastAsia" w:ascii="宋体" w:hAnsi="宋体" w:eastAsia="宋体"/>
                <w:sz w:val="24"/>
                <w:szCs w:val="24"/>
              </w:rPr>
            </w:pPr>
            <w:r>
              <w:rPr>
                <w:rFonts w:hint="eastAsia" w:ascii="宋体" w:hAnsi="宋体" w:eastAsia="宋体"/>
                <w:sz w:val="24"/>
                <w:szCs w:val="24"/>
              </w:rPr>
              <w:t>食品制造业</w:t>
            </w:r>
          </w:p>
          <w:p>
            <w:pPr>
              <w:jc w:val="center"/>
              <w:rPr>
                <w:rFonts w:hint="eastAsia" w:ascii="宋体" w:hAnsi="宋体" w:eastAsia="宋体"/>
                <w:sz w:val="24"/>
                <w:szCs w:val="24"/>
              </w:rPr>
            </w:pPr>
            <w:r>
              <w:rPr>
                <w:rFonts w:hint="eastAsia" w:ascii="宋体" w:hAnsi="宋体" w:eastAsia="宋体"/>
                <w:sz w:val="24"/>
                <w:szCs w:val="24"/>
              </w:rPr>
              <w:t>（14）</w:t>
            </w:r>
          </w:p>
          <w:p>
            <w:pPr>
              <w:jc w:val="center"/>
              <w:rPr>
                <w:rFonts w:hint="eastAsia" w:ascii="宋体" w:hAnsi="宋体" w:eastAsia="宋体"/>
                <w:sz w:val="24"/>
                <w:szCs w:val="24"/>
              </w:rPr>
            </w:pPr>
            <w:r>
              <w:rPr>
                <w:rFonts w:hint="eastAsia" w:ascii="宋体" w:hAnsi="宋体" w:eastAsia="宋体"/>
                <w:sz w:val="24"/>
                <w:szCs w:val="24"/>
              </w:rPr>
              <w:t>医药制造业</w:t>
            </w:r>
          </w:p>
          <w:p>
            <w:pPr>
              <w:jc w:val="center"/>
              <w:rPr>
                <w:rFonts w:hint="eastAsia" w:ascii="宋体" w:hAnsi="宋体" w:eastAsia="宋体"/>
                <w:sz w:val="24"/>
                <w:szCs w:val="24"/>
              </w:rPr>
            </w:pPr>
            <w:r>
              <w:rPr>
                <w:rFonts w:hint="eastAsia" w:ascii="宋体" w:hAnsi="宋体" w:eastAsia="宋体"/>
                <w:sz w:val="24"/>
                <w:szCs w:val="24"/>
              </w:rPr>
              <w:t>（27）</w:t>
            </w:r>
          </w:p>
        </w:tc>
        <w:tc>
          <w:tcPr>
            <w:tcW w:w="1984" w:type="dxa"/>
            <w:vAlign w:val="center"/>
          </w:tcPr>
          <w:p>
            <w:pPr>
              <w:jc w:val="center"/>
              <w:rPr>
                <w:rFonts w:hint="eastAsia" w:ascii="宋体" w:hAnsi="宋体" w:eastAsia="宋体"/>
                <w:sz w:val="24"/>
                <w:szCs w:val="24"/>
              </w:rPr>
            </w:pPr>
            <w:r>
              <w:rPr>
                <w:rFonts w:hint="eastAsia" w:ascii="宋体" w:hAnsi="宋体" w:eastAsia="宋体"/>
                <w:sz w:val="24"/>
                <w:szCs w:val="24"/>
              </w:rPr>
              <w:t>农产品食品检验员（4-08-05-01）食品工程技术人员（2-02-24）</w:t>
            </w:r>
          </w:p>
          <w:p>
            <w:pPr>
              <w:jc w:val="center"/>
              <w:rPr>
                <w:rFonts w:hint="eastAsia" w:ascii="宋体" w:hAnsi="宋体" w:eastAsia="宋体"/>
                <w:sz w:val="24"/>
                <w:szCs w:val="24"/>
              </w:rPr>
            </w:pPr>
            <w:r>
              <w:rPr>
                <w:rFonts w:hint="eastAsia" w:ascii="宋体" w:hAnsi="宋体" w:eastAsia="宋体"/>
                <w:sz w:val="24"/>
                <w:szCs w:val="24"/>
              </w:rPr>
              <w:t>公共营养师</w:t>
            </w:r>
          </w:p>
          <w:p>
            <w:pPr>
              <w:jc w:val="center"/>
              <w:rPr>
                <w:rFonts w:hint="eastAsia" w:ascii="宋体" w:hAnsi="宋体" w:eastAsia="宋体"/>
                <w:sz w:val="24"/>
                <w:szCs w:val="24"/>
              </w:rPr>
            </w:pPr>
            <w:r>
              <w:rPr>
                <w:rFonts w:hint="eastAsia" w:ascii="宋体" w:hAnsi="宋体" w:eastAsia="宋体"/>
                <w:sz w:val="24"/>
                <w:szCs w:val="24"/>
              </w:rPr>
              <w:t>（4-14-02-01）</w:t>
            </w:r>
          </w:p>
          <w:p>
            <w:pPr>
              <w:jc w:val="center"/>
              <w:rPr>
                <w:rFonts w:hint="eastAsia" w:ascii="宋体" w:hAnsi="宋体" w:eastAsia="宋体"/>
                <w:sz w:val="24"/>
                <w:szCs w:val="24"/>
              </w:rPr>
            </w:pPr>
            <w:r>
              <w:rPr>
                <w:rFonts w:hint="eastAsia" w:ascii="宋体" w:hAnsi="宋体" w:eastAsia="宋体"/>
                <w:sz w:val="24"/>
                <w:szCs w:val="24"/>
              </w:rPr>
              <w:t>营养配餐员（4-03-02-06）</w:t>
            </w:r>
          </w:p>
          <w:p>
            <w:pPr>
              <w:jc w:val="center"/>
              <w:rPr>
                <w:rFonts w:hint="eastAsia" w:ascii="宋体" w:hAnsi="宋体" w:eastAsia="宋体"/>
                <w:sz w:val="24"/>
                <w:szCs w:val="24"/>
              </w:rPr>
            </w:pPr>
            <w:r>
              <w:rPr>
                <w:rFonts w:hint="eastAsia" w:ascii="宋体" w:hAnsi="宋体" w:eastAsia="宋体"/>
                <w:sz w:val="24"/>
                <w:szCs w:val="24"/>
              </w:rPr>
              <w:t>药物检验员（4-08-05-04）</w:t>
            </w:r>
          </w:p>
          <w:p>
            <w:pPr>
              <w:jc w:val="center"/>
              <w:rPr>
                <w:rFonts w:hint="eastAsia" w:ascii="宋体" w:hAnsi="宋体" w:eastAsia="宋体"/>
                <w:sz w:val="24"/>
                <w:szCs w:val="24"/>
              </w:rPr>
            </w:pPr>
            <w:r>
              <w:rPr>
                <w:rFonts w:hint="eastAsia" w:ascii="宋体" w:hAnsi="宋体" w:eastAsia="宋体"/>
                <w:sz w:val="24"/>
                <w:szCs w:val="24"/>
              </w:rPr>
              <w:t>生化药品制造工（6-12-05-01）</w:t>
            </w:r>
          </w:p>
        </w:tc>
        <w:tc>
          <w:tcPr>
            <w:tcW w:w="1701" w:type="dxa"/>
            <w:vAlign w:val="center"/>
          </w:tcPr>
          <w:p>
            <w:pPr>
              <w:jc w:val="center"/>
              <w:rPr>
                <w:rFonts w:hint="eastAsia" w:ascii="宋体" w:hAnsi="宋体" w:eastAsia="宋体"/>
                <w:sz w:val="24"/>
                <w:szCs w:val="24"/>
              </w:rPr>
            </w:pPr>
            <w:r>
              <w:rPr>
                <w:rFonts w:hint="eastAsia" w:ascii="宋体" w:hAnsi="宋体" w:eastAsia="宋体"/>
                <w:sz w:val="24"/>
                <w:szCs w:val="24"/>
              </w:rPr>
              <w:t>食品加工、食品检验、食品质量安全管理、药品销售、药品经营管理</w:t>
            </w:r>
          </w:p>
        </w:tc>
        <w:tc>
          <w:tcPr>
            <w:tcW w:w="12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sz w:val="24"/>
                <w:szCs w:val="24"/>
              </w:rPr>
            </w:pPr>
            <w:r>
              <w:rPr>
                <w:rFonts w:hint="eastAsia" w:ascii="宋体" w:hAnsi="宋体" w:eastAsia="宋体"/>
                <w:sz w:val="24"/>
                <w:szCs w:val="24"/>
              </w:rPr>
              <w:t>粮农食品安全评价职业技能等级证书</w:t>
            </w:r>
          </w:p>
        </w:tc>
      </w:tr>
    </w:tbl>
    <w:p>
      <w:pPr>
        <w:ind w:firstLine="482" w:firstLineChars="200"/>
        <w:rPr>
          <w:rFonts w:ascii="Times New Roman" w:hAnsi="Times New Roman" w:eastAsia="黑体" w:cs="Times New Roman"/>
          <w:b/>
          <w:sz w:val="24"/>
          <w:szCs w:val="24"/>
        </w:rPr>
      </w:pPr>
      <w:r>
        <w:rPr>
          <w:rFonts w:hint="eastAsia" w:ascii="Times New Roman" w:hAnsi="黑体" w:eastAsia="黑体" w:cs="Times New Roman"/>
          <w:b/>
          <w:sz w:val="24"/>
          <w:szCs w:val="24"/>
        </w:rPr>
        <w:t>五、培养目标和培养规格</w:t>
      </w:r>
    </w:p>
    <w:p>
      <w:pPr>
        <w:spacing w:line="460" w:lineRule="exact"/>
        <w:ind w:firstLine="480" w:firstLineChars="200"/>
        <w:rPr>
          <w:rFonts w:ascii="Times New Roman" w:hAnsi="宋体" w:eastAsia="宋体" w:cs="Times New Roman"/>
          <w:sz w:val="24"/>
          <w:szCs w:val="24"/>
        </w:rPr>
      </w:pPr>
      <w:r>
        <w:rPr>
          <w:rFonts w:hint="eastAsia" w:ascii="Times New Roman" w:hAnsi="宋体" w:eastAsia="宋体" w:cs="Times New Roman"/>
          <w:sz w:val="24"/>
          <w:szCs w:val="24"/>
        </w:rPr>
        <w:t>（一）培养目标</w:t>
      </w:r>
    </w:p>
    <w:p>
      <w:pPr>
        <w:spacing w:line="460" w:lineRule="exact"/>
        <w:ind w:firstLine="480" w:firstLineChars="200"/>
        <w:rPr>
          <w:rFonts w:hint="eastAsia" w:ascii="Times New Roman" w:hAnsi="宋体" w:eastAsia="宋体" w:cs="Times New Roman"/>
          <w:sz w:val="24"/>
          <w:szCs w:val="24"/>
        </w:rPr>
      </w:pPr>
      <w:r>
        <w:rPr>
          <w:rFonts w:hint="eastAsia" w:ascii="Times New Roman" w:hAnsi="宋体" w:eastAsia="宋体" w:cs="Times New Roman"/>
          <w:sz w:val="24"/>
          <w:szCs w:val="24"/>
        </w:rPr>
        <w:t>本专业培养思想政治坚定、德技并修、全面发展，具有一定的科学文化水平、良好的职业道德和工匠精神、掌握食品理化检验、食品安全质量管理、药品经营质量管理等知识和技术技能，具备认知能力、合作能力、创新能力、职业能力等支撑终身发展、适应时代要求的关键能力，具有较强的就业创业能力，面向莆田市及周边地区食品、药品等产业，能从事食品理化检测、食品药品质量控制及质量监督管理等工作的高素质复合型技术技能人才。</w:t>
      </w:r>
    </w:p>
    <w:p>
      <w:pPr>
        <w:spacing w:line="460" w:lineRule="exact"/>
        <w:ind w:firstLine="480" w:firstLineChars="200"/>
        <w:rPr>
          <w:rFonts w:ascii="Times New Roman" w:hAnsi="宋体" w:eastAsia="宋体" w:cs="Times New Roman"/>
          <w:sz w:val="24"/>
          <w:szCs w:val="24"/>
        </w:rPr>
      </w:pPr>
      <w:r>
        <w:rPr>
          <w:rFonts w:hint="eastAsia" w:ascii="Times New Roman" w:hAnsi="宋体" w:eastAsia="宋体" w:cs="Times New Roman"/>
          <w:sz w:val="24"/>
          <w:szCs w:val="24"/>
        </w:rPr>
        <w:t>（二）培养规格</w:t>
      </w:r>
    </w:p>
    <w:p>
      <w:pPr>
        <w:spacing w:line="360" w:lineRule="auto"/>
        <w:ind w:firstLine="480" w:firstLineChars="200"/>
        <w:rPr>
          <w:rFonts w:hint="eastAsia" w:ascii="黑体" w:hAnsi="黑体" w:eastAsia="黑体" w:cs="Times New Roman"/>
          <w:sz w:val="24"/>
        </w:rPr>
      </w:pPr>
      <w:r>
        <w:rPr>
          <w:rFonts w:hint="eastAsia" w:ascii="黑体" w:hAnsi="黑体" w:eastAsia="黑体" w:cs="Times New Roman"/>
          <w:sz w:val="24"/>
        </w:rPr>
        <w:t>1．基本素质要求</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1）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2）具有良好的职业道德和职业素养。遵守、履行道德准则和行为规范；尊重劳动、热爱劳动；崇德向善、诚实守信、爱岗敬业，具有精益求精的工匠精神；具有集体意识和团队合作精神，具有流程观念、协同操作、安全责任意识、绿色环保意识、职业生涯规划意识等；具有从事相关职业应具备的其他职业素养要求。</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3）具有良好的身心素质和人文素养。达到《国家学生体质健康标准》要求，具有健康的体魄和心理、健全的人格；具有一定的审美和人文素养。掌握一定的学习方法，具有良好的生活习惯、行为习惯和自我管理能力。</w:t>
      </w:r>
    </w:p>
    <w:p>
      <w:pPr>
        <w:spacing w:line="360" w:lineRule="auto"/>
        <w:ind w:firstLine="480" w:firstLineChars="200"/>
        <w:rPr>
          <w:rFonts w:hint="eastAsia" w:ascii="黑体" w:hAnsi="黑体" w:eastAsia="黑体" w:cs="Times New Roman"/>
          <w:sz w:val="24"/>
        </w:rPr>
      </w:pPr>
      <w:r>
        <w:rPr>
          <w:rFonts w:hint="eastAsia" w:ascii="黑体" w:hAnsi="黑体" w:eastAsia="黑体" w:cs="Times New Roman"/>
          <w:sz w:val="24"/>
        </w:rPr>
        <w:t>2．知识要求</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（1）具有必备的政治理论，以及社会与人文知识。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（2）具有计算机应用的基本知识。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（3）具有基础化学、微生物、食品营养学等基本理论知识。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（4）具有食品法规与标准化知识，食品质量与安全基础知识。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（5）具有法律基础知识和食品药品专业法规知识。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（6）具有食品药品质量控制技术与管理体系的基本理论知识。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（7）具有食品理化检测的基本理论知识。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（8）具有食品储运、保藏、市场流通的基本知识，以及药品销售、储运、市场流通基本知识。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（9）具有食品及药品政策分析技术知识。</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（10）了解食品药品行业发展动态、具有食品企业经营运作的相关管理知识。</w:t>
      </w:r>
    </w:p>
    <w:p>
      <w:pPr>
        <w:spacing w:line="360" w:lineRule="auto"/>
        <w:ind w:firstLine="480" w:firstLineChars="200"/>
        <w:rPr>
          <w:rFonts w:hint="eastAsia" w:ascii="黑体" w:hAnsi="黑体" w:eastAsia="黑体" w:cs="Times New Roman"/>
          <w:sz w:val="24"/>
        </w:rPr>
      </w:pPr>
      <w:r>
        <w:rPr>
          <w:rFonts w:hint="eastAsia" w:ascii="黑体" w:hAnsi="黑体" w:eastAsia="黑体" w:cs="Times New Roman"/>
          <w:sz w:val="24"/>
        </w:rPr>
        <w:t>3．岗位能力要求</w:t>
      </w:r>
    </w:p>
    <w:p>
      <w:pPr>
        <w:spacing w:line="460" w:lineRule="exact"/>
        <w:ind w:firstLine="482"/>
        <w:rPr>
          <w:rFonts w:hint="eastAsia" w:ascii="宋体" w:hAnsi="宋体" w:eastAsia="宋体" w:cs="宋体"/>
          <w:sz w:val="24"/>
        </w:rPr>
      </w:pPr>
      <w:r>
        <w:rPr>
          <w:rFonts w:hint="eastAsia" w:ascii="宋体" w:hAnsi="宋体" w:eastAsia="宋体" w:cs="宋体"/>
          <w:sz w:val="24"/>
        </w:rPr>
        <w:t>（1）能运用所学知识发现问题、分析问题并解决问题。</w:t>
      </w:r>
    </w:p>
    <w:p>
      <w:pPr>
        <w:spacing w:line="460" w:lineRule="exact"/>
        <w:ind w:firstLine="482"/>
        <w:rPr>
          <w:rFonts w:hint="eastAsia" w:ascii="宋体" w:hAnsi="宋体" w:eastAsia="宋体" w:cs="宋体"/>
          <w:sz w:val="24"/>
        </w:rPr>
      </w:pPr>
      <w:r>
        <w:rPr>
          <w:rFonts w:hint="eastAsia" w:ascii="宋体" w:hAnsi="宋体" w:eastAsia="宋体" w:cs="宋体"/>
          <w:sz w:val="24"/>
        </w:rPr>
        <w:t>（2）能使用相关工具采集样品和处理样品。</w:t>
      </w:r>
    </w:p>
    <w:p>
      <w:pPr>
        <w:spacing w:line="460" w:lineRule="exact"/>
        <w:ind w:firstLine="482"/>
        <w:rPr>
          <w:rFonts w:hint="eastAsia" w:ascii="宋体" w:hAnsi="宋体" w:eastAsia="宋体" w:cs="宋体"/>
          <w:sz w:val="24"/>
        </w:rPr>
      </w:pPr>
      <w:r>
        <w:rPr>
          <w:rFonts w:hint="eastAsia" w:ascii="宋体" w:hAnsi="宋体" w:eastAsia="宋体" w:cs="宋体"/>
          <w:sz w:val="24"/>
        </w:rPr>
        <w:t>（3）能够应用微生物学分析方法对样品进行微生物检验与分析。</w:t>
      </w:r>
    </w:p>
    <w:p>
      <w:pPr>
        <w:spacing w:line="460" w:lineRule="exact"/>
        <w:ind w:firstLine="482"/>
        <w:rPr>
          <w:rFonts w:hint="eastAsia" w:ascii="宋体" w:hAnsi="宋体" w:eastAsia="宋体" w:cs="宋体"/>
          <w:sz w:val="24"/>
        </w:rPr>
      </w:pPr>
      <w:r>
        <w:rPr>
          <w:rFonts w:hint="eastAsia" w:ascii="宋体" w:hAnsi="宋体" w:eastAsia="宋体" w:cs="宋体"/>
          <w:sz w:val="24"/>
        </w:rPr>
        <w:t>（4）能按食品标准规范及检验方案进行食品中常见品质指标的检测。</w:t>
      </w:r>
    </w:p>
    <w:p>
      <w:pPr>
        <w:spacing w:line="460" w:lineRule="exact"/>
        <w:ind w:firstLine="482"/>
        <w:rPr>
          <w:rFonts w:hint="eastAsia" w:ascii="宋体" w:hAnsi="宋体" w:eastAsia="宋体" w:cs="宋体"/>
          <w:sz w:val="24"/>
        </w:rPr>
      </w:pPr>
      <w:r>
        <w:rPr>
          <w:rFonts w:hint="eastAsia" w:ascii="宋体" w:hAnsi="宋体" w:eastAsia="宋体" w:cs="宋体"/>
          <w:sz w:val="24"/>
        </w:rPr>
        <w:t>（5）能够运用感官评价方法对食品色、香、味、形进行综合感官评定。</w:t>
      </w:r>
    </w:p>
    <w:p>
      <w:pPr>
        <w:spacing w:line="460" w:lineRule="exact"/>
        <w:ind w:firstLine="482"/>
        <w:rPr>
          <w:rFonts w:hint="eastAsia" w:ascii="宋体" w:hAnsi="宋体" w:eastAsia="宋体" w:cs="宋体"/>
          <w:sz w:val="24"/>
        </w:rPr>
      </w:pPr>
      <w:r>
        <w:rPr>
          <w:rFonts w:hint="eastAsia" w:ascii="宋体" w:hAnsi="宋体" w:eastAsia="宋体" w:cs="宋体"/>
          <w:sz w:val="24"/>
        </w:rPr>
        <w:t>（6）能依据分析方法验证规程计算食品检出限、定量限、线性范围。</w:t>
      </w:r>
    </w:p>
    <w:p>
      <w:pPr>
        <w:spacing w:line="460" w:lineRule="exact"/>
        <w:ind w:firstLine="482"/>
        <w:rPr>
          <w:rFonts w:hint="eastAsia" w:ascii="宋体" w:hAnsi="宋体" w:eastAsia="宋体" w:cs="宋体"/>
          <w:sz w:val="24"/>
        </w:rPr>
      </w:pPr>
      <w:r>
        <w:rPr>
          <w:rFonts w:hint="eastAsia" w:ascii="宋体" w:hAnsi="宋体" w:eastAsia="宋体" w:cs="宋体"/>
          <w:sz w:val="24"/>
        </w:rPr>
        <w:t>（7）能够依据相关法律法规及标准的规定对药品经营企业销售及储运过程进行管理。</w:t>
      </w:r>
    </w:p>
    <w:p>
      <w:pPr>
        <w:spacing w:line="460" w:lineRule="exact"/>
        <w:ind w:firstLine="482"/>
        <w:rPr>
          <w:rFonts w:hint="eastAsia" w:ascii="宋体" w:hAnsi="宋体" w:eastAsia="宋体" w:cs="宋体"/>
          <w:sz w:val="24"/>
        </w:rPr>
      </w:pPr>
      <w:r>
        <w:rPr>
          <w:rFonts w:hint="eastAsia" w:ascii="宋体" w:hAnsi="宋体" w:eastAsia="宋体" w:cs="宋体"/>
          <w:sz w:val="24"/>
        </w:rPr>
        <w:t>（8）能够依据相关法律法规及标准的规定对食品药品安全与质量进行管理。</w:t>
      </w:r>
    </w:p>
    <w:p>
      <w:pPr>
        <w:spacing w:line="460" w:lineRule="exact"/>
        <w:ind w:firstLine="482"/>
        <w:rPr>
          <w:rFonts w:hint="eastAsia" w:ascii="宋体" w:hAnsi="宋体" w:eastAsia="宋体" w:cs="宋体"/>
          <w:sz w:val="24"/>
        </w:rPr>
      </w:pPr>
      <w:r>
        <w:rPr>
          <w:rFonts w:hint="eastAsia" w:ascii="宋体" w:hAnsi="宋体" w:eastAsia="宋体" w:cs="宋体"/>
          <w:sz w:val="24"/>
        </w:rPr>
        <w:t>（9）能够正确理解食品检验标准，规范完成食品检验工作。</w:t>
      </w:r>
    </w:p>
    <w:p>
      <w:pPr>
        <w:spacing w:line="460" w:lineRule="exact"/>
        <w:ind w:firstLine="482"/>
        <w:rPr>
          <w:rFonts w:hint="eastAsia" w:ascii="宋体" w:hAnsi="宋体" w:eastAsia="宋体" w:cs="宋体"/>
          <w:sz w:val="24"/>
        </w:rPr>
      </w:pPr>
      <w:r>
        <w:rPr>
          <w:rFonts w:hint="eastAsia" w:ascii="宋体" w:hAnsi="宋体" w:eastAsia="宋体" w:cs="宋体"/>
          <w:sz w:val="24"/>
        </w:rPr>
        <w:t>（10）能够熟练操作、使用、维护仪器设备，并能够排除简单故障。</w:t>
      </w:r>
    </w:p>
    <w:p>
      <w:pPr>
        <w:spacing w:line="460" w:lineRule="exact"/>
        <w:ind w:firstLine="482"/>
        <w:rPr>
          <w:rFonts w:hint="eastAsia" w:ascii="宋体" w:hAnsi="宋体" w:eastAsia="宋体" w:cs="宋体"/>
          <w:sz w:val="24"/>
        </w:rPr>
      </w:pPr>
      <w:r>
        <w:rPr>
          <w:rFonts w:hint="eastAsia" w:ascii="宋体" w:hAnsi="宋体" w:eastAsia="宋体" w:cs="宋体"/>
          <w:sz w:val="24"/>
        </w:rPr>
        <w:t>（11）能够正确理解并运用国家相关法规及标准。</w:t>
      </w:r>
    </w:p>
    <w:p>
      <w:pPr>
        <w:adjustRightInd w:val="0"/>
        <w:snapToGrid w:val="0"/>
        <w:spacing w:line="388" w:lineRule="exact"/>
        <w:ind w:firstLine="480"/>
        <w:rPr>
          <w:rFonts w:hint="eastAsia" w:ascii="宋体" w:hAnsi="宋体" w:eastAsia="宋体" w:cs="宋体"/>
          <w:sz w:val="24"/>
          <w:szCs w:val="24"/>
        </w:rPr>
      </w:pPr>
      <w:r>
        <w:rPr>
          <w:rFonts w:hint="eastAsia" w:ascii="宋体" w:hAnsi="宋体" w:eastAsia="宋体" w:cs="宋体"/>
          <w:sz w:val="24"/>
        </w:rPr>
        <w:t>（12）能够利用网络及其他方式查阅文献和收集整理资料。</w:t>
      </w:r>
    </w:p>
    <w:p>
      <w:pPr>
        <w:ind w:firstLine="482" w:firstLineChars="200"/>
        <w:rPr>
          <w:rFonts w:ascii="Times New Roman" w:hAnsi="Times New Roman" w:eastAsia="黑体" w:cs="Times New Roman"/>
          <w:b/>
          <w:sz w:val="24"/>
          <w:szCs w:val="24"/>
        </w:rPr>
      </w:pPr>
      <w:r>
        <w:rPr>
          <w:rFonts w:hint="eastAsia" w:ascii="Times New Roman" w:hAnsi="黑体" w:eastAsia="黑体" w:cs="Times New Roman"/>
          <w:b/>
          <w:sz w:val="24"/>
          <w:szCs w:val="24"/>
        </w:rPr>
        <w:t>六、课程体系与内容</w:t>
      </w:r>
    </w:p>
    <w:p>
      <w:pPr>
        <w:spacing w:line="460" w:lineRule="exact"/>
        <w:ind w:firstLine="480" w:firstLineChars="200"/>
        <w:rPr>
          <w:rFonts w:hint="eastAsia" w:ascii="Times New Roman" w:hAnsi="Times New Roman" w:eastAsia="宋体" w:cs="Times New Roman"/>
          <w:bCs/>
          <w:sz w:val="24"/>
          <w:szCs w:val="24"/>
        </w:rPr>
      </w:pPr>
      <w:r>
        <w:rPr>
          <w:rFonts w:ascii="Times New Roman" w:hAnsi="Times New Roman" w:eastAsia="宋体" w:cs="Times New Roman"/>
          <w:bCs/>
          <w:sz w:val="24"/>
          <w:szCs w:val="24"/>
        </w:rPr>
        <w:t>1</w:t>
      </w:r>
      <w:r>
        <w:rPr>
          <w:rFonts w:hint="eastAsia" w:ascii="Times New Roman" w:hAnsi="Times New Roman" w:eastAsia="宋体" w:cs="Times New Roman"/>
          <w:bCs/>
          <w:sz w:val="24"/>
          <w:szCs w:val="24"/>
        </w:rPr>
        <w:t>、课程体系结构</w:t>
      </w:r>
    </w:p>
    <w:tbl>
      <w:tblPr>
        <w:tblStyle w:val="23"/>
        <w:tblW w:w="8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1276"/>
        <w:gridCol w:w="1160"/>
        <w:gridCol w:w="1225"/>
        <w:gridCol w:w="3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084"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课程设置</w:t>
            </w:r>
          </w:p>
        </w:tc>
        <w:tc>
          <w:tcPr>
            <w:tcW w:w="1276"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课程模块</w:t>
            </w:r>
          </w:p>
        </w:tc>
        <w:tc>
          <w:tcPr>
            <w:tcW w:w="1160"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课程类别</w:t>
            </w:r>
          </w:p>
        </w:tc>
        <w:tc>
          <w:tcPr>
            <w:tcW w:w="1225"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课程性质</w:t>
            </w:r>
          </w:p>
        </w:tc>
        <w:tc>
          <w:tcPr>
            <w:tcW w:w="3695"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课程名称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084" w:type="dxa"/>
            <w:vMerge w:val="restart"/>
            <w:noWrap w:val="0"/>
            <w:vAlign w:val="center"/>
          </w:tcPr>
          <w:p>
            <w:pPr>
              <w:jc w:val="center"/>
              <w:rPr>
                <w:rFonts w:hint="eastAsia" w:ascii="宋体" w:hAnsi="宋体" w:eastAsia="宋体" w:cs="宋体"/>
                <w:b/>
                <w:szCs w:val="21"/>
              </w:rPr>
            </w:pPr>
            <w:r>
              <w:rPr>
                <w:rFonts w:hint="eastAsia" w:ascii="宋体" w:hAnsi="宋体" w:eastAsia="宋体" w:cs="宋体"/>
                <w:szCs w:val="21"/>
              </w:rPr>
              <w:t>公共基础课程</w:t>
            </w:r>
          </w:p>
        </w:tc>
        <w:tc>
          <w:tcPr>
            <w:tcW w:w="1276" w:type="dxa"/>
            <w:vMerge w:val="restart"/>
            <w:noWrap w:val="0"/>
            <w:vAlign w:val="center"/>
          </w:tcPr>
          <w:p>
            <w:pPr>
              <w:jc w:val="center"/>
              <w:rPr>
                <w:rFonts w:hint="eastAsia" w:ascii="宋体" w:hAnsi="宋体" w:eastAsia="宋体" w:cs="宋体"/>
                <w:szCs w:val="21"/>
              </w:rPr>
            </w:pPr>
            <w:r>
              <w:rPr>
                <w:rFonts w:hint="eastAsia" w:ascii="宋体" w:hAnsi="宋体" w:eastAsia="宋体" w:cs="宋体"/>
                <w:szCs w:val="21"/>
              </w:rPr>
              <w:t>公共基础</w:t>
            </w:r>
          </w:p>
          <w:p>
            <w:pPr>
              <w:jc w:val="center"/>
              <w:rPr>
                <w:rFonts w:hint="eastAsia" w:ascii="宋体" w:hAnsi="宋体" w:eastAsia="宋体" w:cs="宋体"/>
                <w:szCs w:val="21"/>
              </w:rPr>
            </w:pPr>
            <w:r>
              <w:rPr>
                <w:rFonts w:hint="eastAsia" w:ascii="宋体" w:hAnsi="宋体" w:eastAsia="宋体" w:cs="宋体"/>
                <w:szCs w:val="21"/>
              </w:rPr>
              <w:t>模块</w:t>
            </w:r>
          </w:p>
        </w:tc>
        <w:tc>
          <w:tcPr>
            <w:tcW w:w="1160" w:type="dxa"/>
            <w:vMerge w:val="restart"/>
            <w:noWrap w:val="0"/>
            <w:vAlign w:val="center"/>
          </w:tcPr>
          <w:p>
            <w:pPr>
              <w:jc w:val="center"/>
              <w:rPr>
                <w:rFonts w:hint="eastAsia" w:ascii="宋体" w:hAnsi="宋体" w:eastAsia="宋体" w:cs="宋体"/>
                <w:b/>
                <w:szCs w:val="21"/>
              </w:rPr>
            </w:pPr>
            <w:r>
              <w:rPr>
                <w:rFonts w:hint="eastAsia" w:ascii="宋体" w:hAnsi="宋体" w:eastAsia="宋体" w:cs="宋体"/>
                <w:szCs w:val="21"/>
              </w:rPr>
              <w:t>公共基础课程</w:t>
            </w:r>
          </w:p>
        </w:tc>
        <w:tc>
          <w:tcPr>
            <w:tcW w:w="122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必修</w:t>
            </w:r>
          </w:p>
        </w:tc>
        <w:tc>
          <w:tcPr>
            <w:tcW w:w="3695" w:type="dxa"/>
            <w:noWrap w:val="0"/>
            <w:vAlign w:val="center"/>
          </w:tcPr>
          <w:p>
            <w:pPr>
              <w:widowControl/>
              <w:jc w:val="left"/>
              <w:rPr>
                <w:rFonts w:hint="eastAsia" w:ascii="宋体" w:hAnsi="宋体" w:eastAsia="宋体" w:cs="宋体"/>
                <w:kern w:val="0"/>
                <w:szCs w:val="21"/>
              </w:rPr>
            </w:pPr>
            <w:r>
              <w:rPr>
                <w:rFonts w:hint="eastAsia" w:ascii="宋体" w:hAnsi="宋体" w:eastAsia="宋体" w:cs="宋体"/>
                <w:kern w:val="0"/>
                <w:szCs w:val="21"/>
              </w:rPr>
              <w:t>中职德育、中职语文、中职数学、中职英语、体育与健康、计算机应用基础、音乐、书法、中职历史、艺术与审美、中职物理、中职化学、大学英语、毛泽东思想和中国特社会主义理论体系概论、职业道德修养与法律基础、形势与政策、军事理论与安全教育、大学生心理健康教育、中华优秀传统文化、高等数学、党史国史、大学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continue"/>
            <w:noWrap w:val="0"/>
            <w:vAlign w:val="center"/>
          </w:tcPr>
          <w:p>
            <w:pPr>
              <w:jc w:val="center"/>
              <w:rPr>
                <w:rFonts w:hint="eastAsia" w:ascii="宋体" w:hAnsi="宋体" w:eastAsia="宋体" w:cs="宋体"/>
                <w:szCs w:val="21"/>
              </w:rPr>
            </w:pPr>
          </w:p>
        </w:tc>
        <w:tc>
          <w:tcPr>
            <w:tcW w:w="1160" w:type="dxa"/>
            <w:vMerge w:val="continue"/>
            <w:noWrap w:val="0"/>
            <w:vAlign w:val="center"/>
          </w:tcPr>
          <w:p>
            <w:pPr>
              <w:jc w:val="center"/>
              <w:rPr>
                <w:rFonts w:hint="eastAsia" w:ascii="宋体" w:hAnsi="宋体" w:eastAsia="宋体" w:cs="宋体"/>
                <w:szCs w:val="21"/>
              </w:rPr>
            </w:pPr>
          </w:p>
        </w:tc>
        <w:tc>
          <w:tcPr>
            <w:tcW w:w="1225" w:type="dxa"/>
            <w:vMerge w:val="restart"/>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选修</w:t>
            </w:r>
          </w:p>
        </w:tc>
        <w:tc>
          <w:tcPr>
            <w:tcW w:w="3695" w:type="dxa"/>
            <w:noWrap w:val="0"/>
            <w:vAlign w:val="center"/>
          </w:tcPr>
          <w:p>
            <w:pPr>
              <w:widowControl/>
              <w:rPr>
                <w:rFonts w:hint="eastAsia" w:ascii="宋体" w:hAnsi="宋体" w:eastAsia="宋体" w:cs="宋体"/>
                <w:color w:val="000000"/>
                <w:kern w:val="0"/>
                <w:szCs w:val="21"/>
              </w:rPr>
            </w:pPr>
            <w:r>
              <w:rPr>
                <w:rFonts w:hint="eastAsia" w:ascii="宋体" w:hAnsi="宋体" w:eastAsia="宋体" w:cs="宋体"/>
                <w:szCs w:val="21"/>
              </w:rPr>
              <w:t>人文艺术类课程（如</w:t>
            </w:r>
            <w:r>
              <w:rPr>
                <w:rFonts w:hint="eastAsia" w:ascii="宋体" w:hAnsi="宋体" w:eastAsia="宋体" w:cs="宋体"/>
                <w:color w:val="000000"/>
                <w:kern w:val="0"/>
                <w:szCs w:val="21"/>
              </w:rPr>
              <w:t>文学欣赏、大学音乐、影视文学评论、美术摄影、动漫艺术等课程</w:t>
            </w: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continue"/>
            <w:noWrap w:val="0"/>
            <w:vAlign w:val="center"/>
          </w:tcPr>
          <w:p>
            <w:pPr>
              <w:jc w:val="center"/>
              <w:rPr>
                <w:rFonts w:hint="eastAsia" w:ascii="宋体" w:hAnsi="宋体" w:eastAsia="宋体" w:cs="宋体"/>
                <w:szCs w:val="21"/>
              </w:rPr>
            </w:pPr>
          </w:p>
        </w:tc>
        <w:tc>
          <w:tcPr>
            <w:tcW w:w="1160" w:type="dxa"/>
            <w:vMerge w:val="continue"/>
            <w:noWrap w:val="0"/>
            <w:vAlign w:val="center"/>
          </w:tcPr>
          <w:p>
            <w:pPr>
              <w:jc w:val="center"/>
              <w:rPr>
                <w:rFonts w:hint="eastAsia" w:ascii="宋体" w:hAnsi="宋体" w:eastAsia="宋体" w:cs="宋体"/>
                <w:szCs w:val="21"/>
              </w:rPr>
            </w:pPr>
          </w:p>
        </w:tc>
        <w:tc>
          <w:tcPr>
            <w:tcW w:w="1225" w:type="dxa"/>
            <w:vMerge w:val="continue"/>
            <w:noWrap w:val="0"/>
            <w:vAlign w:val="center"/>
          </w:tcPr>
          <w:p>
            <w:pPr>
              <w:adjustRightInd w:val="0"/>
              <w:snapToGrid w:val="0"/>
              <w:jc w:val="center"/>
              <w:rPr>
                <w:rFonts w:hint="eastAsia" w:ascii="宋体" w:hAnsi="宋体" w:eastAsia="宋体" w:cs="宋体"/>
                <w:szCs w:val="21"/>
              </w:rPr>
            </w:pPr>
          </w:p>
        </w:tc>
        <w:tc>
          <w:tcPr>
            <w:tcW w:w="3695" w:type="dxa"/>
            <w:noWrap w:val="0"/>
            <w:vAlign w:val="center"/>
          </w:tcPr>
          <w:p>
            <w:pPr>
              <w:widowControl/>
              <w:rPr>
                <w:rFonts w:hint="eastAsia" w:ascii="宋体" w:hAnsi="宋体" w:eastAsia="宋体" w:cs="宋体"/>
                <w:color w:val="000000"/>
                <w:kern w:val="0"/>
                <w:szCs w:val="21"/>
              </w:rPr>
            </w:pPr>
            <w:r>
              <w:rPr>
                <w:rFonts w:hint="eastAsia" w:ascii="宋体" w:hAnsi="宋体" w:eastAsia="宋体" w:cs="宋体"/>
                <w:szCs w:val="21"/>
              </w:rPr>
              <w:t>社会认识类课程（如</w:t>
            </w:r>
            <w:r>
              <w:rPr>
                <w:rFonts w:hint="eastAsia" w:ascii="宋体" w:hAnsi="宋体" w:eastAsia="宋体" w:cs="宋体"/>
                <w:color w:val="000000"/>
                <w:kern w:val="0"/>
                <w:szCs w:val="21"/>
              </w:rPr>
              <w:t>基本法律常识、与法同行、婚姻法、社会责任等课程）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continue"/>
            <w:noWrap w:val="0"/>
            <w:vAlign w:val="center"/>
          </w:tcPr>
          <w:p>
            <w:pPr>
              <w:jc w:val="center"/>
              <w:rPr>
                <w:rFonts w:hint="eastAsia" w:ascii="宋体" w:hAnsi="宋体" w:eastAsia="宋体" w:cs="宋体"/>
                <w:szCs w:val="21"/>
              </w:rPr>
            </w:pPr>
          </w:p>
        </w:tc>
        <w:tc>
          <w:tcPr>
            <w:tcW w:w="1160" w:type="dxa"/>
            <w:vMerge w:val="continue"/>
            <w:noWrap w:val="0"/>
            <w:vAlign w:val="center"/>
          </w:tcPr>
          <w:p>
            <w:pPr>
              <w:jc w:val="center"/>
              <w:rPr>
                <w:rFonts w:hint="eastAsia" w:ascii="宋体" w:hAnsi="宋体" w:eastAsia="宋体" w:cs="宋体"/>
                <w:szCs w:val="21"/>
              </w:rPr>
            </w:pPr>
          </w:p>
        </w:tc>
        <w:tc>
          <w:tcPr>
            <w:tcW w:w="1225" w:type="dxa"/>
            <w:vMerge w:val="continue"/>
            <w:noWrap w:val="0"/>
            <w:vAlign w:val="center"/>
          </w:tcPr>
          <w:p>
            <w:pPr>
              <w:adjustRightInd w:val="0"/>
              <w:snapToGrid w:val="0"/>
              <w:jc w:val="center"/>
              <w:rPr>
                <w:rFonts w:hint="eastAsia" w:ascii="宋体" w:hAnsi="宋体" w:eastAsia="宋体" w:cs="宋体"/>
                <w:szCs w:val="21"/>
              </w:rPr>
            </w:pPr>
          </w:p>
        </w:tc>
        <w:tc>
          <w:tcPr>
            <w:tcW w:w="3695" w:type="dxa"/>
            <w:noWrap w:val="0"/>
            <w:vAlign w:val="center"/>
          </w:tcPr>
          <w:p>
            <w:pPr>
              <w:widowControl/>
              <w:rPr>
                <w:rFonts w:hint="eastAsia" w:ascii="宋体" w:hAnsi="宋体" w:eastAsia="宋体" w:cs="宋体"/>
                <w:szCs w:val="21"/>
              </w:rPr>
            </w:pPr>
            <w:r>
              <w:rPr>
                <w:rFonts w:hint="eastAsia" w:ascii="宋体" w:hAnsi="宋体" w:eastAsia="宋体" w:cs="宋体"/>
                <w:szCs w:val="21"/>
              </w:rPr>
              <w:t>工具类课程（</w:t>
            </w:r>
            <w:r>
              <w:rPr>
                <w:rFonts w:hint="eastAsia" w:ascii="宋体" w:hAnsi="宋体" w:eastAsia="宋体" w:cs="宋体"/>
                <w:color w:val="000000"/>
                <w:kern w:val="0"/>
                <w:szCs w:val="21"/>
              </w:rPr>
              <w:t>应用文写作、素描、演讲与口才、计算机网络、电工常识、平面图像处理等课程</w:t>
            </w: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continue"/>
            <w:noWrap w:val="0"/>
            <w:vAlign w:val="center"/>
          </w:tcPr>
          <w:p>
            <w:pPr>
              <w:jc w:val="center"/>
              <w:rPr>
                <w:rFonts w:hint="eastAsia" w:ascii="宋体" w:hAnsi="宋体" w:eastAsia="宋体" w:cs="宋体"/>
                <w:szCs w:val="21"/>
              </w:rPr>
            </w:pPr>
          </w:p>
        </w:tc>
        <w:tc>
          <w:tcPr>
            <w:tcW w:w="1160" w:type="dxa"/>
            <w:vMerge w:val="continue"/>
            <w:noWrap w:val="0"/>
            <w:vAlign w:val="center"/>
          </w:tcPr>
          <w:p>
            <w:pPr>
              <w:jc w:val="center"/>
              <w:rPr>
                <w:rFonts w:hint="eastAsia" w:ascii="宋体" w:hAnsi="宋体" w:eastAsia="宋体" w:cs="宋体"/>
                <w:szCs w:val="21"/>
              </w:rPr>
            </w:pPr>
          </w:p>
        </w:tc>
        <w:tc>
          <w:tcPr>
            <w:tcW w:w="1225" w:type="dxa"/>
            <w:vMerge w:val="continue"/>
            <w:noWrap w:val="0"/>
            <w:vAlign w:val="center"/>
          </w:tcPr>
          <w:p>
            <w:pPr>
              <w:adjustRightInd w:val="0"/>
              <w:snapToGrid w:val="0"/>
              <w:jc w:val="center"/>
              <w:rPr>
                <w:rFonts w:hint="eastAsia" w:ascii="宋体" w:hAnsi="宋体" w:eastAsia="宋体" w:cs="宋体"/>
                <w:color w:val="000000"/>
                <w:szCs w:val="21"/>
              </w:rPr>
            </w:pPr>
          </w:p>
        </w:tc>
        <w:tc>
          <w:tcPr>
            <w:tcW w:w="3695" w:type="dxa"/>
            <w:noWrap w:val="0"/>
            <w:vAlign w:val="center"/>
          </w:tcPr>
          <w:p>
            <w:pPr>
              <w:widowControl/>
              <w:rPr>
                <w:rFonts w:hint="eastAsia" w:ascii="宋体" w:hAnsi="宋体" w:eastAsia="宋体" w:cs="宋体"/>
                <w:color w:val="000000"/>
                <w:kern w:val="0"/>
                <w:szCs w:val="21"/>
              </w:rPr>
            </w:pPr>
            <w:r>
              <w:rPr>
                <w:rFonts w:hint="eastAsia" w:ascii="宋体" w:hAnsi="宋体" w:eastAsia="宋体" w:cs="宋体"/>
                <w:szCs w:val="21"/>
              </w:rPr>
              <w:t>科技素质类课程（</w:t>
            </w:r>
            <w:r>
              <w:rPr>
                <w:rFonts w:hint="eastAsia" w:ascii="宋体" w:hAnsi="宋体" w:eastAsia="宋体" w:cs="宋体"/>
                <w:color w:val="000000"/>
                <w:kern w:val="0"/>
                <w:szCs w:val="21"/>
              </w:rPr>
              <w:t>汽车行走的艺术、走近核科学技术、生物材料伴我行、绿色环保、节能减排等课程</w:t>
            </w: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restart"/>
            <w:noWrap w:val="0"/>
            <w:vAlign w:val="center"/>
          </w:tcPr>
          <w:p>
            <w:pPr>
              <w:jc w:val="center"/>
              <w:rPr>
                <w:rFonts w:hint="eastAsia" w:ascii="宋体" w:hAnsi="宋体" w:eastAsia="宋体" w:cs="宋体"/>
                <w:szCs w:val="21"/>
              </w:rPr>
            </w:pPr>
            <w:r>
              <w:rPr>
                <w:rFonts w:hint="eastAsia" w:ascii="宋体" w:hAnsi="宋体" w:eastAsia="宋体" w:cs="宋体"/>
                <w:szCs w:val="21"/>
              </w:rPr>
              <w:t>创新创业</w:t>
            </w:r>
          </w:p>
          <w:p>
            <w:pPr>
              <w:jc w:val="center"/>
              <w:rPr>
                <w:rFonts w:hint="eastAsia" w:ascii="宋体" w:hAnsi="宋体" w:eastAsia="宋体" w:cs="宋体"/>
                <w:szCs w:val="21"/>
              </w:rPr>
            </w:pPr>
            <w:r>
              <w:rPr>
                <w:rFonts w:hint="eastAsia" w:ascii="宋体" w:hAnsi="宋体" w:eastAsia="宋体" w:cs="宋体"/>
                <w:szCs w:val="21"/>
              </w:rPr>
              <w:t>模块</w:t>
            </w:r>
          </w:p>
        </w:tc>
        <w:tc>
          <w:tcPr>
            <w:tcW w:w="1160" w:type="dxa"/>
            <w:vMerge w:val="restart"/>
            <w:noWrap w:val="0"/>
            <w:vAlign w:val="center"/>
          </w:tcPr>
          <w:p>
            <w:pPr>
              <w:jc w:val="center"/>
              <w:rPr>
                <w:rFonts w:hint="eastAsia" w:ascii="宋体" w:hAnsi="宋体" w:eastAsia="宋体" w:cs="宋体"/>
                <w:szCs w:val="21"/>
              </w:rPr>
            </w:pPr>
            <w:r>
              <w:rPr>
                <w:rFonts w:hint="eastAsia" w:ascii="宋体" w:hAnsi="宋体" w:eastAsia="宋体" w:cs="宋体"/>
                <w:szCs w:val="21"/>
              </w:rPr>
              <w:t>创新创业</w:t>
            </w:r>
          </w:p>
          <w:p>
            <w:pPr>
              <w:jc w:val="center"/>
              <w:rPr>
                <w:rFonts w:hint="eastAsia" w:ascii="宋体" w:hAnsi="宋体" w:eastAsia="宋体" w:cs="宋体"/>
                <w:szCs w:val="21"/>
              </w:rPr>
            </w:pPr>
            <w:r>
              <w:rPr>
                <w:rFonts w:hint="eastAsia" w:ascii="宋体" w:hAnsi="宋体" w:eastAsia="宋体" w:cs="宋体"/>
                <w:szCs w:val="21"/>
              </w:rPr>
              <w:t>教育课程</w:t>
            </w:r>
          </w:p>
        </w:tc>
        <w:tc>
          <w:tcPr>
            <w:tcW w:w="122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必修</w:t>
            </w:r>
          </w:p>
        </w:tc>
        <w:tc>
          <w:tcPr>
            <w:tcW w:w="3695" w:type="dxa"/>
            <w:noWrap w:val="0"/>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大学生职业生涯规划与职业素养、大学生创业与就业指导、创业企业基础等必修课程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continue"/>
            <w:noWrap w:val="0"/>
            <w:vAlign w:val="center"/>
          </w:tcPr>
          <w:p>
            <w:pPr>
              <w:jc w:val="center"/>
              <w:rPr>
                <w:rFonts w:hint="eastAsia" w:ascii="宋体" w:hAnsi="宋体" w:eastAsia="宋体" w:cs="宋体"/>
                <w:szCs w:val="21"/>
              </w:rPr>
            </w:pPr>
          </w:p>
        </w:tc>
        <w:tc>
          <w:tcPr>
            <w:tcW w:w="1160" w:type="dxa"/>
            <w:vMerge w:val="continue"/>
            <w:noWrap w:val="0"/>
            <w:vAlign w:val="center"/>
          </w:tcPr>
          <w:p>
            <w:pPr>
              <w:jc w:val="center"/>
              <w:rPr>
                <w:rFonts w:hint="eastAsia" w:ascii="宋体" w:hAnsi="宋体" w:eastAsia="宋体" w:cs="宋体"/>
                <w:szCs w:val="21"/>
              </w:rPr>
            </w:pPr>
          </w:p>
        </w:tc>
        <w:tc>
          <w:tcPr>
            <w:tcW w:w="122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选修</w:t>
            </w:r>
          </w:p>
        </w:tc>
        <w:tc>
          <w:tcPr>
            <w:tcW w:w="3695" w:type="dxa"/>
            <w:noWrap w:val="0"/>
            <w:vAlign w:val="center"/>
          </w:tcPr>
          <w:p>
            <w:pPr>
              <w:widowControl/>
              <w:rPr>
                <w:rFonts w:hint="eastAsia" w:ascii="宋体" w:hAnsi="宋体" w:eastAsia="宋体" w:cs="宋体"/>
                <w:szCs w:val="21"/>
              </w:rPr>
            </w:pPr>
            <w:r>
              <w:rPr>
                <w:rFonts w:hint="eastAsia" w:ascii="宋体" w:hAnsi="宋体" w:eastAsia="宋体" w:cs="宋体"/>
                <w:color w:val="000000"/>
                <w:kern w:val="0"/>
                <w:szCs w:val="21"/>
              </w:rPr>
              <w:t>创新创业类选修课程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84" w:type="dxa"/>
            <w:vMerge w:val="restart"/>
            <w:noWrap w:val="0"/>
            <w:vAlign w:val="center"/>
          </w:tcPr>
          <w:p>
            <w:pPr>
              <w:jc w:val="center"/>
              <w:rPr>
                <w:rFonts w:hint="eastAsia" w:ascii="宋体" w:hAnsi="宋体" w:eastAsia="宋体" w:cs="宋体"/>
                <w:szCs w:val="21"/>
              </w:rPr>
            </w:pPr>
            <w:r>
              <w:rPr>
                <w:rFonts w:hint="eastAsia" w:ascii="宋体" w:hAnsi="宋体" w:eastAsia="宋体" w:cs="宋体"/>
                <w:szCs w:val="21"/>
              </w:rPr>
              <w:t>专业课程</w:t>
            </w:r>
          </w:p>
        </w:tc>
        <w:tc>
          <w:tcPr>
            <w:tcW w:w="1276" w:type="dxa"/>
            <w:vMerge w:val="restart"/>
            <w:noWrap w:val="0"/>
            <w:vAlign w:val="center"/>
          </w:tcPr>
          <w:p>
            <w:pPr>
              <w:jc w:val="center"/>
              <w:rPr>
                <w:rFonts w:hint="eastAsia" w:ascii="宋体" w:hAnsi="宋体" w:eastAsia="宋体" w:cs="宋体"/>
                <w:szCs w:val="21"/>
              </w:rPr>
            </w:pPr>
            <w:r>
              <w:rPr>
                <w:rFonts w:hint="eastAsia" w:ascii="宋体" w:hAnsi="宋体" w:eastAsia="宋体" w:cs="宋体"/>
                <w:szCs w:val="21"/>
              </w:rPr>
              <w:t>专业技术</w:t>
            </w:r>
          </w:p>
          <w:p>
            <w:pPr>
              <w:jc w:val="center"/>
              <w:rPr>
                <w:rFonts w:hint="eastAsia" w:ascii="宋体" w:hAnsi="宋体" w:eastAsia="宋体" w:cs="宋体"/>
                <w:szCs w:val="21"/>
              </w:rPr>
            </w:pPr>
            <w:r>
              <w:rPr>
                <w:rFonts w:hint="eastAsia" w:ascii="宋体" w:hAnsi="宋体" w:eastAsia="宋体" w:cs="宋体"/>
                <w:szCs w:val="21"/>
              </w:rPr>
              <w:t>技能模块</w:t>
            </w:r>
          </w:p>
        </w:tc>
        <w:tc>
          <w:tcPr>
            <w:tcW w:w="1160" w:type="dxa"/>
            <w:noWrap w:val="0"/>
            <w:vAlign w:val="center"/>
          </w:tcPr>
          <w:p>
            <w:pPr>
              <w:jc w:val="center"/>
              <w:rPr>
                <w:rFonts w:hint="eastAsia" w:ascii="宋体" w:hAnsi="宋体" w:eastAsia="宋体" w:cs="宋体"/>
                <w:szCs w:val="21"/>
              </w:rPr>
            </w:pPr>
            <w:r>
              <w:rPr>
                <w:rFonts w:hint="eastAsia" w:ascii="宋体" w:hAnsi="宋体" w:eastAsia="宋体" w:cs="宋体"/>
                <w:szCs w:val="21"/>
              </w:rPr>
              <w:t>专业基础课程</w:t>
            </w:r>
          </w:p>
        </w:tc>
        <w:tc>
          <w:tcPr>
            <w:tcW w:w="1225" w:type="dxa"/>
            <w:noWrap w:val="0"/>
            <w:vAlign w:val="center"/>
          </w:tcPr>
          <w:p>
            <w:pPr>
              <w:jc w:val="center"/>
              <w:rPr>
                <w:rFonts w:hint="eastAsia" w:ascii="宋体" w:hAnsi="宋体" w:eastAsia="宋体" w:cs="宋体"/>
                <w:color w:val="000000"/>
                <w:kern w:val="0"/>
                <w:szCs w:val="21"/>
              </w:rPr>
            </w:pPr>
            <w:r>
              <w:rPr>
                <w:rFonts w:hint="eastAsia" w:ascii="宋体" w:hAnsi="宋体" w:eastAsia="宋体" w:cs="宋体"/>
                <w:color w:val="000000"/>
                <w:szCs w:val="21"/>
              </w:rPr>
              <w:t>必修</w:t>
            </w:r>
          </w:p>
        </w:tc>
        <w:tc>
          <w:tcPr>
            <w:tcW w:w="3695" w:type="dxa"/>
            <w:noWrap w:val="0"/>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无机化学</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有机化学</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食品基础知识</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分析化学（基础模块）</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分析化学（提升模块）</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基础化学Ⅱ</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基础化学实验技术Ⅱ</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功能性食品</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微生物基础</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食品化学</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专业英语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continue"/>
            <w:noWrap w:val="0"/>
            <w:vAlign w:val="center"/>
          </w:tcPr>
          <w:p>
            <w:pPr>
              <w:jc w:val="center"/>
              <w:rPr>
                <w:rFonts w:hint="eastAsia" w:ascii="宋体" w:hAnsi="宋体" w:eastAsia="宋体" w:cs="宋体"/>
                <w:szCs w:val="21"/>
              </w:rPr>
            </w:pPr>
          </w:p>
        </w:tc>
        <w:tc>
          <w:tcPr>
            <w:tcW w:w="1160" w:type="dxa"/>
            <w:noWrap w:val="0"/>
            <w:vAlign w:val="center"/>
          </w:tcPr>
          <w:p>
            <w:pPr>
              <w:jc w:val="center"/>
              <w:rPr>
                <w:rFonts w:hint="eastAsia" w:ascii="宋体" w:hAnsi="宋体" w:eastAsia="宋体" w:cs="宋体"/>
                <w:szCs w:val="21"/>
              </w:rPr>
            </w:pPr>
            <w:r>
              <w:rPr>
                <w:rFonts w:hint="eastAsia" w:ascii="宋体" w:hAnsi="宋体" w:eastAsia="宋体" w:cs="宋体"/>
                <w:szCs w:val="21"/>
              </w:rPr>
              <w:t>专业核心课程</w:t>
            </w:r>
          </w:p>
        </w:tc>
        <w:tc>
          <w:tcPr>
            <w:tcW w:w="122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必修</w:t>
            </w:r>
          </w:p>
        </w:tc>
        <w:tc>
          <w:tcPr>
            <w:tcW w:w="3695" w:type="dxa"/>
            <w:noWrap w:val="0"/>
            <w:vAlign w:val="center"/>
          </w:tcPr>
          <w:p>
            <w:pPr>
              <w:rPr>
                <w:rFonts w:hint="eastAsia" w:ascii="宋体" w:hAnsi="宋体" w:eastAsia="宋体" w:cs="宋体"/>
                <w:color w:val="000000"/>
                <w:kern w:val="0"/>
                <w:szCs w:val="21"/>
              </w:rPr>
            </w:pPr>
            <w:r>
              <w:rPr>
                <w:rFonts w:hint="eastAsia" w:ascii="宋体" w:hAnsi="宋体" w:eastAsia="宋体" w:cs="宋体"/>
                <w:color w:val="000000"/>
                <w:kern w:val="0"/>
                <w:szCs w:val="21"/>
              </w:rPr>
              <w:t>食品理化检测技术</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食品微生物</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仪器分析（基础模块）</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◆仪器分析（提升模块）</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食品掺伪鉴别检验</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食品法律法规与标准</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健康管理</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食品感官检验技术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continue"/>
            <w:noWrap w:val="0"/>
            <w:vAlign w:val="center"/>
          </w:tcPr>
          <w:p>
            <w:pPr>
              <w:jc w:val="center"/>
              <w:rPr>
                <w:rFonts w:hint="eastAsia" w:ascii="宋体" w:hAnsi="宋体" w:eastAsia="宋体" w:cs="宋体"/>
                <w:szCs w:val="21"/>
              </w:rPr>
            </w:pPr>
          </w:p>
        </w:tc>
        <w:tc>
          <w:tcPr>
            <w:tcW w:w="1160" w:type="dxa"/>
            <w:noWrap w:val="0"/>
            <w:vAlign w:val="center"/>
          </w:tcPr>
          <w:p>
            <w:pPr>
              <w:jc w:val="center"/>
              <w:rPr>
                <w:rFonts w:hint="eastAsia" w:ascii="宋体" w:hAnsi="宋体" w:eastAsia="宋体" w:cs="宋体"/>
                <w:szCs w:val="21"/>
              </w:rPr>
            </w:pPr>
            <w:r>
              <w:rPr>
                <w:rFonts w:hint="eastAsia" w:ascii="宋体" w:hAnsi="宋体" w:eastAsia="宋体" w:cs="宋体"/>
                <w:szCs w:val="21"/>
              </w:rPr>
              <w:t>专业拓展课程</w:t>
            </w:r>
          </w:p>
        </w:tc>
        <w:tc>
          <w:tcPr>
            <w:tcW w:w="122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选修</w:t>
            </w:r>
          </w:p>
        </w:tc>
        <w:tc>
          <w:tcPr>
            <w:tcW w:w="3695" w:type="dxa"/>
            <w:noWrap w:val="0"/>
            <w:vAlign w:val="center"/>
          </w:tcPr>
          <w:p>
            <w:pPr>
              <w:rPr>
                <w:rFonts w:hint="eastAsia" w:ascii="宋体" w:hAnsi="宋体" w:eastAsia="宋体" w:cs="宋体"/>
                <w:color w:val="000000"/>
                <w:kern w:val="0"/>
                <w:szCs w:val="21"/>
              </w:rPr>
            </w:pPr>
            <w:r>
              <w:rPr>
                <w:rFonts w:hint="eastAsia" w:ascii="宋体" w:hAnsi="宋体" w:eastAsia="宋体" w:cs="宋体"/>
                <w:color w:val="000000"/>
                <w:kern w:val="0"/>
                <w:szCs w:val="21"/>
              </w:rPr>
              <w:t>信息技术在专业中的应用</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食品营养与卫生</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食品企业管理</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生物化学</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食品添加剂</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分析检验的质量保证与计量认证</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企业文化与职业素养</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食品工艺原理</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食品贮运技术</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食品毒理学基础</w:t>
            </w:r>
          </w:p>
          <w:p>
            <w:pPr>
              <w:rPr>
                <w:rFonts w:hint="eastAsia" w:ascii="宋体" w:hAnsi="宋体" w:eastAsia="宋体" w:cs="宋体"/>
                <w:color w:val="000000"/>
                <w:kern w:val="0"/>
                <w:szCs w:val="21"/>
              </w:rPr>
            </w:pPr>
            <w:r>
              <w:rPr>
                <w:rFonts w:hint="eastAsia" w:ascii="宋体" w:hAnsi="宋体" w:eastAsia="宋体" w:cs="宋体"/>
                <w:color w:val="000000"/>
                <w:kern w:val="0"/>
                <w:szCs w:val="21"/>
              </w:rPr>
              <w:t>食品包装技术</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实验室组织与管理</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污水处理工艺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084" w:type="dxa"/>
            <w:vMerge w:val="continue"/>
            <w:noWrap w:val="0"/>
            <w:vAlign w:val="center"/>
          </w:tcPr>
          <w:p>
            <w:pPr>
              <w:jc w:val="center"/>
              <w:rPr>
                <w:rFonts w:hint="eastAsia" w:ascii="宋体" w:hAnsi="宋体" w:eastAsia="宋体" w:cs="宋体"/>
                <w:szCs w:val="21"/>
              </w:rPr>
            </w:pPr>
          </w:p>
        </w:tc>
        <w:tc>
          <w:tcPr>
            <w:tcW w:w="1276" w:type="dxa"/>
            <w:vMerge w:val="continue"/>
            <w:noWrap w:val="0"/>
            <w:vAlign w:val="center"/>
          </w:tcPr>
          <w:p>
            <w:pPr>
              <w:jc w:val="center"/>
              <w:rPr>
                <w:rFonts w:hint="eastAsia" w:ascii="宋体" w:hAnsi="宋体" w:eastAsia="宋体" w:cs="宋体"/>
                <w:szCs w:val="21"/>
              </w:rPr>
            </w:pPr>
          </w:p>
        </w:tc>
        <w:tc>
          <w:tcPr>
            <w:tcW w:w="1160" w:type="dxa"/>
            <w:noWrap w:val="0"/>
            <w:vAlign w:val="center"/>
          </w:tcPr>
          <w:p>
            <w:pPr>
              <w:jc w:val="center"/>
              <w:rPr>
                <w:rFonts w:hint="eastAsia" w:ascii="宋体" w:hAnsi="宋体" w:eastAsia="宋体" w:cs="宋体"/>
                <w:szCs w:val="21"/>
              </w:rPr>
            </w:pPr>
            <w:r>
              <w:rPr>
                <w:rFonts w:hint="eastAsia" w:ascii="宋体" w:hAnsi="宋体" w:eastAsia="宋体" w:cs="宋体"/>
                <w:szCs w:val="21"/>
              </w:rPr>
              <w:t>集中实践性教学课程</w:t>
            </w:r>
          </w:p>
        </w:tc>
        <w:tc>
          <w:tcPr>
            <w:tcW w:w="122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必修</w:t>
            </w:r>
          </w:p>
        </w:tc>
        <w:tc>
          <w:tcPr>
            <w:tcW w:w="3695" w:type="dxa"/>
            <w:noWrap w:val="0"/>
            <w:vAlign w:val="center"/>
          </w:tcPr>
          <w:p>
            <w:pPr>
              <w:rPr>
                <w:rFonts w:hint="eastAsia" w:ascii="宋体" w:hAnsi="宋体" w:eastAsia="宋体" w:cs="宋体"/>
                <w:color w:val="000000"/>
                <w:kern w:val="0"/>
                <w:szCs w:val="21"/>
              </w:rPr>
            </w:pPr>
            <w:r>
              <w:rPr>
                <w:rFonts w:hint="eastAsia" w:ascii="宋体" w:hAnsi="宋体" w:eastAsia="宋体" w:cs="宋体"/>
                <w:color w:val="000000"/>
                <w:kern w:val="0"/>
                <w:szCs w:val="21"/>
              </w:rPr>
              <w:t>入学教育</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军训</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社会实践</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劳动</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实习教育</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毕业教育</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基础化学技能实训</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化学分析技能实训</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仪器分析技能实训</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现代仪器分析仿真实训</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企业岗位认识实习</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食品专项技能实训</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校内综合实训</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顶岗实习（含毕业设计）等</w:t>
            </w:r>
          </w:p>
        </w:tc>
      </w:tr>
    </w:tbl>
    <w:p>
      <w:pPr>
        <w:spacing w:line="460" w:lineRule="exact"/>
        <w:ind w:firstLine="482" w:firstLineChars="20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（二）课程要求</w:t>
      </w:r>
    </w:p>
    <w:p>
      <w:pPr>
        <w:spacing w:line="460" w:lineRule="exact"/>
        <w:ind w:firstLine="480" w:firstLineChars="200"/>
        <w:rPr>
          <w:rFonts w:ascii="Times New Roman" w:hAnsi="Times New Roman" w:eastAsia="宋体" w:cs="Times New Roman"/>
          <w:b/>
          <w:bCs/>
          <w:sz w:val="24"/>
          <w:szCs w:val="24"/>
        </w:rPr>
      </w:pPr>
      <w:r>
        <w:rPr>
          <w:rFonts w:ascii="Times New Roman" w:hAnsi="Times New Roman" w:eastAsia="宋体" w:cs="Times New Roman"/>
          <w:bCs/>
          <w:sz w:val="24"/>
          <w:szCs w:val="24"/>
        </w:rPr>
        <w:t>1</w:t>
      </w:r>
      <w:r>
        <w:rPr>
          <w:rFonts w:hint="eastAsia" w:ascii="Times New Roman" w:hAnsi="Times New Roman" w:eastAsia="宋体" w:cs="Times New Roman"/>
          <w:bCs/>
          <w:sz w:val="24"/>
          <w:szCs w:val="24"/>
        </w:rPr>
        <w:t>、公共基础课程</w:t>
      </w:r>
    </w:p>
    <w:p>
      <w:pPr>
        <w:spacing w:line="460" w:lineRule="exact"/>
        <w:rPr>
          <w:rFonts w:ascii="Times New Roman" w:hAnsi="Times New Roman" w:eastAsia="宋体" w:cs="Times New Roman"/>
          <w:bCs/>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tbl>
      <w:tblPr>
        <w:tblStyle w:val="23"/>
        <w:tblW w:w="1470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15"/>
        <w:gridCol w:w="709"/>
        <w:gridCol w:w="7371"/>
        <w:gridCol w:w="3685"/>
        <w:gridCol w:w="1843"/>
        <w:gridCol w:w="5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7" w:hRule="atLeast"/>
          <w:tblHeader/>
          <w:jc w:val="center"/>
        </w:trPr>
        <w:tc>
          <w:tcPr>
            <w:tcW w:w="515" w:type="dxa"/>
            <w:vAlign w:val="center"/>
          </w:tcPr>
          <w:p>
            <w:pPr>
              <w:jc w:val="center"/>
              <w:rPr>
                <w:rFonts w:ascii="Times New Roman" w:hAnsi="Times New Roman" w:eastAsia="宋体" w:cs="Times New Roman"/>
                <w:b/>
                <w:color w:val="000000"/>
                <w:sz w:val="18"/>
                <w:szCs w:val="18"/>
              </w:rPr>
            </w:pPr>
            <w:r>
              <w:rPr>
                <w:rFonts w:ascii="Times New Roman" w:hAnsi="Times New Roman" w:eastAsia="宋体" w:cs="Times New Roman"/>
                <w:b/>
                <w:color w:val="000000"/>
                <w:sz w:val="18"/>
                <w:szCs w:val="18"/>
              </w:rPr>
              <w:t>序号</w:t>
            </w:r>
          </w:p>
        </w:tc>
        <w:tc>
          <w:tcPr>
            <w:tcW w:w="709" w:type="dxa"/>
            <w:tcBorders>
              <w:left w:val="single" w:color="auto" w:sz="8" w:space="0"/>
              <w:right w:val="single" w:color="auto" w:sz="8" w:space="0"/>
            </w:tcBorders>
            <w:vAlign w:val="center"/>
          </w:tcPr>
          <w:p>
            <w:pPr>
              <w:jc w:val="center"/>
              <w:rPr>
                <w:rFonts w:ascii="Times New Roman" w:hAnsi="Times New Roman" w:eastAsia="宋体" w:cs="Times New Roman"/>
                <w:b/>
                <w:color w:val="000000"/>
                <w:sz w:val="18"/>
                <w:szCs w:val="18"/>
              </w:rPr>
            </w:pPr>
            <w:r>
              <w:rPr>
                <w:rFonts w:ascii="Times New Roman" w:hAnsi="Times New Roman" w:eastAsia="宋体" w:cs="Times New Roman"/>
                <w:b/>
                <w:color w:val="000000"/>
                <w:sz w:val="18"/>
                <w:szCs w:val="18"/>
              </w:rPr>
              <w:t>课程名称</w:t>
            </w:r>
          </w:p>
        </w:tc>
        <w:tc>
          <w:tcPr>
            <w:tcW w:w="7371" w:type="dxa"/>
            <w:tcBorders>
              <w:left w:val="single" w:color="auto" w:sz="8" w:space="0"/>
              <w:right w:val="single" w:color="auto" w:sz="4" w:space="0"/>
            </w:tcBorders>
            <w:vAlign w:val="center"/>
          </w:tcPr>
          <w:p>
            <w:pPr>
              <w:jc w:val="center"/>
              <w:rPr>
                <w:rFonts w:ascii="Times New Roman" w:hAnsi="Times New Roman" w:eastAsia="宋体" w:cs="Times New Roman"/>
                <w:b/>
                <w:bCs/>
                <w:color w:val="000000"/>
                <w:sz w:val="18"/>
                <w:szCs w:val="18"/>
              </w:rPr>
            </w:pPr>
            <w:r>
              <w:rPr>
                <w:rFonts w:ascii="Times New Roman" w:hAnsi="Times New Roman" w:eastAsia="宋体" w:cs="Times New Roman"/>
                <w:b/>
                <w:color w:val="000000"/>
                <w:kern w:val="0"/>
                <w:sz w:val="18"/>
                <w:szCs w:val="18"/>
              </w:rPr>
              <w:t>课程目标</w:t>
            </w:r>
          </w:p>
        </w:tc>
        <w:tc>
          <w:tcPr>
            <w:tcW w:w="3685" w:type="dxa"/>
            <w:tcBorders>
              <w:left w:val="single" w:color="auto" w:sz="4" w:space="0"/>
              <w:right w:val="single" w:color="auto" w:sz="4" w:space="0"/>
            </w:tcBorders>
            <w:vAlign w:val="center"/>
          </w:tcPr>
          <w:p>
            <w:pPr>
              <w:jc w:val="center"/>
              <w:rPr>
                <w:rFonts w:ascii="Times New Roman" w:hAnsi="Times New Roman" w:eastAsia="宋体" w:cs="Times New Roman"/>
                <w:b/>
                <w:bCs/>
                <w:color w:val="000000"/>
                <w:sz w:val="18"/>
                <w:szCs w:val="18"/>
              </w:rPr>
            </w:pPr>
            <w:r>
              <w:rPr>
                <w:rFonts w:ascii="Times New Roman" w:hAnsi="Times New Roman" w:eastAsia="宋体" w:cs="Times New Roman"/>
                <w:b/>
                <w:color w:val="000000"/>
                <w:sz w:val="18"/>
                <w:szCs w:val="18"/>
              </w:rPr>
              <w:t>主要</w:t>
            </w:r>
            <w:r>
              <w:rPr>
                <w:rFonts w:ascii="Times New Roman" w:hAnsi="Times New Roman" w:eastAsia="宋体" w:cs="Times New Roman"/>
                <w:b/>
                <w:color w:val="000000"/>
                <w:kern w:val="0"/>
                <w:sz w:val="18"/>
                <w:szCs w:val="18"/>
              </w:rPr>
              <w:t>教学内容</w:t>
            </w:r>
            <w:r>
              <w:rPr>
                <w:rFonts w:ascii="Times New Roman" w:hAnsi="Times New Roman" w:eastAsia="宋体" w:cs="Times New Roman"/>
                <w:b/>
                <w:color w:val="000000"/>
                <w:sz w:val="18"/>
                <w:szCs w:val="18"/>
              </w:rPr>
              <w:t>与要求</w:t>
            </w:r>
          </w:p>
        </w:tc>
        <w:tc>
          <w:tcPr>
            <w:tcW w:w="1843" w:type="dxa"/>
            <w:tcBorders>
              <w:left w:val="single" w:color="auto" w:sz="4" w:space="0"/>
            </w:tcBorders>
            <w:vAlign w:val="center"/>
          </w:tcPr>
          <w:p>
            <w:pPr>
              <w:jc w:val="center"/>
              <w:rPr>
                <w:rFonts w:ascii="Times New Roman" w:hAnsi="Times New Roman" w:eastAsia="宋体" w:cs="Times New Roman"/>
                <w:b/>
                <w:bCs/>
                <w:color w:val="000000"/>
                <w:sz w:val="18"/>
                <w:szCs w:val="18"/>
              </w:rPr>
            </w:pPr>
            <w:r>
              <w:rPr>
                <w:rFonts w:ascii="Times New Roman" w:hAnsi="Times New Roman" w:eastAsia="宋体" w:cs="Times New Roman"/>
                <w:b/>
                <w:color w:val="000000"/>
                <w:sz w:val="18"/>
                <w:szCs w:val="18"/>
              </w:rPr>
              <w:t>教学方法与手段</w:t>
            </w:r>
          </w:p>
        </w:tc>
        <w:tc>
          <w:tcPr>
            <w:tcW w:w="580" w:type="dxa"/>
            <w:tcBorders>
              <w:left w:val="single" w:color="auto" w:sz="8" w:space="0"/>
            </w:tcBorders>
            <w:vAlign w:val="center"/>
          </w:tcPr>
          <w:p>
            <w:pPr>
              <w:jc w:val="center"/>
              <w:rPr>
                <w:rFonts w:ascii="Times New Roman" w:hAnsi="Times New Roman" w:eastAsia="宋体" w:cs="Times New Roman"/>
                <w:b/>
                <w:bCs/>
                <w:color w:val="000000"/>
                <w:sz w:val="18"/>
                <w:szCs w:val="18"/>
              </w:rPr>
            </w:pPr>
            <w:r>
              <w:rPr>
                <w:rFonts w:ascii="Times New Roman" w:hAnsi="Times New Roman" w:eastAsia="宋体" w:cs="Times New Roman"/>
                <w:b/>
                <w:color w:val="000000"/>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19"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w:t>
            </w:r>
          </w:p>
        </w:tc>
        <w:tc>
          <w:tcPr>
            <w:tcW w:w="709" w:type="dxa"/>
            <w:tcBorders>
              <w:left w:val="single" w:color="auto" w:sz="8"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中职德育</w:t>
            </w:r>
          </w:p>
          <w:p>
            <w:pPr>
              <w:widowControl/>
              <w:jc w:val="center"/>
              <w:rPr>
                <w:rFonts w:ascii="宋体" w:hAnsi="宋体" w:eastAsia="宋体" w:cs="Times New Roman"/>
                <w:color w:val="000000"/>
                <w:sz w:val="18"/>
                <w:szCs w:val="18"/>
              </w:rPr>
            </w:pPr>
            <w:r>
              <w:rPr>
                <w:rFonts w:ascii="宋体" w:hAnsi="宋体" w:eastAsia="宋体" w:cs="Times New Roman"/>
                <w:color w:val="000000"/>
                <w:sz w:val="18"/>
                <w:szCs w:val="18"/>
              </w:rPr>
              <w:t>（</w:t>
            </w:r>
            <w:r>
              <w:rPr>
                <w:rFonts w:hint="eastAsia" w:ascii="宋体" w:hAnsi="宋体" w:eastAsia="宋体" w:cs="Times New Roman"/>
                <w:color w:val="000000"/>
                <w:sz w:val="18"/>
                <w:szCs w:val="18"/>
              </w:rPr>
              <w:t>中国特色社会主义</w:t>
            </w:r>
            <w:r>
              <w:rPr>
                <w:rFonts w:ascii="宋体" w:hAnsi="宋体" w:eastAsia="宋体" w:cs="Times New Roman"/>
                <w:color w:val="000000"/>
                <w:sz w:val="18"/>
                <w:szCs w:val="18"/>
              </w:rPr>
              <w:t>、</w:t>
            </w:r>
            <w:r>
              <w:rPr>
                <w:rFonts w:hint="eastAsia" w:ascii="宋体" w:hAnsi="宋体" w:eastAsia="宋体" w:cs="Times New Roman"/>
                <w:color w:val="000000"/>
                <w:sz w:val="18"/>
                <w:szCs w:val="18"/>
              </w:rPr>
              <w:t>心理健康与职业生涯</w:t>
            </w:r>
            <w:r>
              <w:rPr>
                <w:rFonts w:ascii="宋体" w:hAnsi="宋体" w:eastAsia="宋体" w:cs="Times New Roman"/>
                <w:color w:val="000000"/>
                <w:sz w:val="18"/>
                <w:szCs w:val="18"/>
              </w:rPr>
              <w:t>、</w:t>
            </w:r>
            <w:r>
              <w:rPr>
                <w:rFonts w:hint="eastAsia" w:ascii="宋体" w:hAnsi="宋体" w:eastAsia="宋体" w:cs="Times New Roman"/>
                <w:color w:val="000000"/>
                <w:sz w:val="18"/>
                <w:szCs w:val="18"/>
              </w:rPr>
              <w:t>职业道德与法治</w:t>
            </w:r>
            <w:r>
              <w:rPr>
                <w:rFonts w:ascii="宋体" w:hAnsi="宋体" w:eastAsia="宋体" w:cs="Times New Roman"/>
                <w:color w:val="000000"/>
                <w:sz w:val="18"/>
                <w:szCs w:val="18"/>
              </w:rPr>
              <w:t>、</w:t>
            </w:r>
            <w:r>
              <w:rPr>
                <w:rFonts w:hint="eastAsia" w:ascii="宋体" w:hAnsi="宋体" w:eastAsia="宋体" w:cs="Times New Roman"/>
                <w:color w:val="000000"/>
                <w:sz w:val="18"/>
                <w:szCs w:val="18"/>
              </w:rPr>
              <w:t>哲学与人生）</w:t>
            </w:r>
          </w:p>
        </w:tc>
        <w:tc>
          <w:tcPr>
            <w:tcW w:w="737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通过思想政治课程学习，培育学生的思想政治学科核心素养。 </w:t>
            </w:r>
          </w:p>
          <w:p>
            <w:pPr>
              <w:widowControl/>
              <w:rPr>
                <w:rFonts w:ascii="宋体" w:hAnsi="宋体" w:eastAsia="宋体" w:cs="Times New Roman"/>
                <w:color w:val="000000"/>
                <w:sz w:val="18"/>
                <w:szCs w:val="18"/>
              </w:rPr>
            </w:pPr>
            <w:r>
              <w:rPr>
                <w:rFonts w:hint="eastAsia" w:ascii="宋体" w:hAnsi="宋体" w:eastAsia="宋体" w:cs="Times New Roman"/>
                <w:b/>
                <w:color w:val="000000"/>
                <w:sz w:val="18"/>
                <w:szCs w:val="18"/>
              </w:rPr>
              <w:t>1.具有政治认同素养的学生，应能够：</w:t>
            </w:r>
            <w:r>
              <w:rPr>
                <w:rFonts w:hint="eastAsia" w:ascii="宋体" w:hAnsi="宋体" w:eastAsia="宋体" w:cs="Times New Roman"/>
                <w:color w:val="000000"/>
                <w:sz w:val="18"/>
                <w:szCs w:val="18"/>
              </w:rPr>
              <w:t>初步掌握辩证唯物主义和历史唯物主义基本原理，运用马克思主义立场、观点和方法，观察分析经济、政治、文化、社会、生态文明等现象，对社会现实和人生问题进行正确价值判断和行为选择；正确认识我国发展新的历史方位和社会主要矛盾的变化，理解习近平新时代中国特色社会主义思想是党 和国家必须长期坚持的指导思想；拥护党的领导，领会中国共产党领导是中国特色社会主义最本质的特征和中国特色社会主义制度的最大 优势，理解新时代中国共产党的历史使命；坚信坚持和发展中国特色社会主义是当代中国发展进步的根本方向，认同和拥护中国特色社会主义制度，坚定中国特色社会主义道路自信、理论自信、制度自信、文化自信；坚持社会主义核心价值体系，自觉培育和践行社会主义核 心价值观；热爱伟大祖国，自觉弘扬和实践爱国主义精神，树立远大志向，在实现中国梦的伟大实践中创造自己精彩人生。</w:t>
            </w:r>
          </w:p>
          <w:p>
            <w:pPr>
              <w:widowControl/>
              <w:rPr>
                <w:rFonts w:ascii="宋体" w:hAnsi="宋体" w:eastAsia="宋体" w:cs="Times New Roman"/>
                <w:color w:val="000000"/>
                <w:sz w:val="18"/>
                <w:szCs w:val="18"/>
              </w:rPr>
            </w:pPr>
            <w:r>
              <w:rPr>
                <w:rFonts w:hint="eastAsia" w:ascii="宋体" w:hAnsi="宋体" w:eastAsia="宋体" w:cs="Times New Roman"/>
                <w:b/>
                <w:color w:val="000000"/>
                <w:sz w:val="18"/>
                <w:szCs w:val="18"/>
              </w:rPr>
              <w:t>2. 具有职业精神素养的学生，应能够：</w:t>
            </w:r>
            <w:r>
              <w:rPr>
                <w:rFonts w:hint="eastAsia" w:ascii="宋体" w:hAnsi="宋体" w:eastAsia="宋体" w:cs="Times New Roman"/>
                <w:color w:val="000000"/>
                <w:sz w:val="18"/>
                <w:szCs w:val="18"/>
              </w:rPr>
              <w:t>正确认识劳动在人类社会 发展中的作用，理解正确的职业理想对国家以及人生发展的作用，明确职业生涯规划对实现职业理想的重要性，懂得职业道德对职业发展 和人生成长的意义；树立正确的劳动观、职业观、就业观、创业观和 成才观，强化无论从事什么劳动和职业，都要有干一行、爱一行、钻 一行的意识，增强职业道德意识，确立通过辛勤劳动、诚实劳动、创 造性劳动实现自身发展的信念；学会根据社会发展需要和自身特点进 行职业生涯规划，正确处理人生发展过程中遇到的问题，养成良好职 业道德行为习惯，自觉践行劳动精神、劳模精神和工匠精神，不断提 升职业道德境界。</w:t>
            </w:r>
          </w:p>
          <w:p>
            <w:pPr>
              <w:widowControl/>
              <w:rPr>
                <w:rFonts w:ascii="宋体" w:hAnsi="宋体" w:eastAsia="宋体" w:cs="Times New Roman"/>
                <w:color w:val="000000"/>
                <w:sz w:val="18"/>
                <w:szCs w:val="18"/>
              </w:rPr>
            </w:pPr>
            <w:r>
              <w:rPr>
                <w:rFonts w:hint="eastAsia" w:ascii="宋体" w:hAnsi="宋体" w:eastAsia="宋体" w:cs="Times New Roman"/>
                <w:b/>
                <w:color w:val="000000"/>
                <w:sz w:val="18"/>
                <w:szCs w:val="18"/>
              </w:rPr>
              <w:t>3. 具有法治意识素养的学生，应能够：</w:t>
            </w:r>
            <w:r>
              <w:rPr>
                <w:rFonts w:hint="eastAsia" w:ascii="宋体" w:hAnsi="宋体" w:eastAsia="宋体" w:cs="Times New Roman"/>
                <w:color w:val="000000"/>
                <w:sz w:val="18"/>
                <w:szCs w:val="18"/>
              </w:rPr>
              <w:t>了解与日常生活和职业 活动密切相关的法律知识，理解法治是党领导人民治理国家的基本方 式，明确建设社会主义法治国家的战略目标；树立宪法法律至上、法律面前人人平等的法治理念，形成法治让社会更和谐、生活更美好的 认知和情感；学会从法的角度去认识和理解社会，养成依法行使权利、 履行法定义务的思维方式和行为习惯。</w:t>
            </w:r>
          </w:p>
          <w:p>
            <w:pPr>
              <w:widowControl/>
              <w:rPr>
                <w:rFonts w:ascii="宋体" w:hAnsi="宋体" w:eastAsia="宋体" w:cs="Times New Roman"/>
                <w:color w:val="000000"/>
                <w:sz w:val="18"/>
                <w:szCs w:val="18"/>
              </w:rPr>
            </w:pPr>
            <w:r>
              <w:rPr>
                <w:rFonts w:hint="eastAsia" w:ascii="宋体" w:hAnsi="宋体" w:eastAsia="宋体" w:cs="Times New Roman"/>
                <w:b/>
                <w:color w:val="000000"/>
                <w:sz w:val="18"/>
                <w:szCs w:val="18"/>
              </w:rPr>
              <w:t>4. 具有健全人格素养的学生，应能够：</w:t>
            </w:r>
            <w:r>
              <w:rPr>
                <w:rFonts w:hint="eastAsia" w:ascii="宋体" w:hAnsi="宋体" w:eastAsia="宋体" w:cs="Times New Roman"/>
                <w:color w:val="000000"/>
                <w:sz w:val="18"/>
                <w:szCs w:val="18"/>
              </w:rPr>
              <w:t xml:space="preserve">具有自立自强、敬业乐群 的心理品质和自尊自信、理性平和、积极向上的良好心态；能够正确 认识自我，正确处理个人与他人、个人与社会的关系，确立符合社会 需要和自身实际的积极生活目标，选择正确的人生发展道路；能够适 应环境、应对挫折、把握机遇、勇于创新，正确处理在生活、成长、 学习和求职就业过程中出现的心理和行为问题，增强调控情绪、自主 自助和积极适应社会发展变化的能力。 </w:t>
            </w:r>
          </w:p>
          <w:p>
            <w:pPr>
              <w:widowControl/>
              <w:rPr>
                <w:rFonts w:ascii="宋体" w:hAnsi="宋体" w:eastAsia="宋体" w:cs="Times New Roman"/>
                <w:color w:val="000000"/>
                <w:sz w:val="15"/>
                <w:szCs w:val="15"/>
              </w:rPr>
            </w:pPr>
            <w:r>
              <w:rPr>
                <w:rFonts w:hint="eastAsia" w:ascii="宋体" w:hAnsi="宋体" w:eastAsia="宋体" w:cs="Times New Roman"/>
                <w:b/>
                <w:color w:val="000000"/>
                <w:sz w:val="18"/>
                <w:szCs w:val="18"/>
              </w:rPr>
              <w:t>5. 具有公共参与素养的学生，应能够：</w:t>
            </w:r>
            <w:r>
              <w:rPr>
                <w:rFonts w:hint="eastAsia" w:ascii="宋体" w:hAnsi="宋体" w:eastAsia="宋体" w:cs="Times New Roman"/>
                <w:color w:val="000000"/>
                <w:sz w:val="18"/>
                <w:szCs w:val="18"/>
              </w:rPr>
              <w:t>正确行使公民权利，自觉 履行公民义务，热心公益事业，弘扬集体主义精神；具有人民当家作 主的主人翁意识，积极参与民主选举、民主管理、民主决策、民主监 督的实践，提高对话协商、沟通合作、表达诉求和解决问题的能力； 遵守社会规则和公共道德，有序参与公共事务；乐于为人民服务，勇 于担当社会责任。</w:t>
            </w:r>
          </w:p>
        </w:tc>
        <w:tc>
          <w:tcPr>
            <w:tcW w:w="3685"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基础模块是各专业学生的必修课程，包括中国特色社会主义、心 理健康与职业生涯、哲学与人生、职业道德与法治四部分内容。 拓展模块为选修课程，是必修课程的拓展和补充。选修课程除 对学生进行时事政策教育外，还应根据国家形势发展、区域经济和 行业发展状况，结合学校德育工作，学生社会实践、专业学习、顶 岗实习，进行法律与职业教育，国家安全教育，民族团结进步教育， 中华优秀传统文化、革命文化、社会主义先进文化教育，文明礼仪 教育，就业创业创新教育，廉洁教育，艾滋病预防教育，毒品预防 教育等。</w:t>
            </w:r>
          </w:p>
        </w:tc>
        <w:tc>
          <w:tcPr>
            <w:tcW w:w="1843" w:type="dxa"/>
            <w:tcBorders>
              <w:lef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本课程的实施，以课程标准为依据，落实立德树人根本任务，将 培育学生的学科核心素养贯穿于教学活动全过程。在教学实践中，要 遵循教育教学规律、思想政治教育规律和中职学生身心发展规律，激 发学生学习兴趣，提高思想政治教学的吸引力，有效提高教学质量。</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 xml:space="preserve">1 </w:t>
            </w:r>
            <w:r>
              <w:rPr>
                <w:rFonts w:hint="eastAsia" w:ascii="宋体" w:hAnsi="宋体" w:eastAsia="宋体" w:cs="Times New Roman"/>
                <w:color w:val="000000"/>
                <w:sz w:val="18"/>
                <w:szCs w:val="18"/>
              </w:rPr>
              <w:t>坚持正确育人导向，强化价值引领；</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w:t>
            </w:r>
            <w:r>
              <w:rPr>
                <w:rFonts w:hint="eastAsia" w:ascii="宋体" w:hAnsi="宋体" w:eastAsia="宋体" w:cs="Times New Roman"/>
                <w:color w:val="000000"/>
                <w:sz w:val="18"/>
                <w:szCs w:val="18"/>
              </w:rPr>
              <w:t>准确理解学科核心素养，科学制定教学目标；</w:t>
            </w:r>
          </w:p>
          <w:p>
            <w:pPr>
              <w:widowControl/>
              <w:rPr>
                <w:rFonts w:ascii="宋体" w:hAnsi="宋体" w:eastAsia="宋体" w:cs="Times New Roman"/>
                <w:color w:val="000000"/>
                <w:sz w:val="18"/>
                <w:szCs w:val="18"/>
              </w:rPr>
            </w:pPr>
          </w:p>
        </w:tc>
        <w:tc>
          <w:tcPr>
            <w:tcW w:w="580"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1</w:t>
            </w:r>
            <w:r>
              <w:rPr>
                <w:rFonts w:ascii="Times New Roman" w:hAnsi="Times New Roman" w:eastAsia="宋体" w:cs="Times New Roman"/>
                <w:color w:val="000000"/>
                <w:sz w:val="18"/>
                <w:szCs w:val="18"/>
              </w:rPr>
              <w:t>8</w:t>
            </w:r>
            <w:r>
              <w:rPr>
                <w:rFonts w:hint="eastAsia" w:ascii="Times New Roman" w:hAnsi="Times New Roman" w:eastAsia="宋体" w:cs="Times New Roman"/>
                <w:color w:val="000000"/>
                <w:sz w:val="18"/>
                <w:szCs w:val="18"/>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w:t>
            </w:r>
          </w:p>
        </w:tc>
        <w:tc>
          <w:tcPr>
            <w:tcW w:w="709" w:type="dxa"/>
            <w:tcBorders>
              <w:left w:val="single" w:color="auto" w:sz="8"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中职语文</w:t>
            </w:r>
          </w:p>
        </w:tc>
        <w:tc>
          <w:tcPr>
            <w:tcW w:w="737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学生通过阅读与欣赏、表达与交流及语文综合实践等活动，在语 言理解与运用、思维发展与提升、审美发现与鉴赏、文化传承与参与 几个方面都获得持续发展，自觉弘扬社会主义核心价值观，坚定文化自信，树立正确的人生理想，涵养职业精神，为适应个人终身发展和 社会发展需要提供支撑。1. 语言认知与积累。2.</w:t>
            </w:r>
            <w:r>
              <w:rPr>
                <w:rFonts w:hint="eastAsia" w:ascii="宋体" w:hAnsi="宋体" w:eastAsia="宋体" w:cs="Times New Roman"/>
                <w:color w:val="000000"/>
              </w:rPr>
              <w:t xml:space="preserve"> </w:t>
            </w:r>
            <w:r>
              <w:rPr>
                <w:rFonts w:hint="eastAsia" w:ascii="宋体" w:hAnsi="宋体" w:eastAsia="宋体" w:cs="Times New Roman"/>
                <w:color w:val="000000"/>
                <w:sz w:val="18"/>
                <w:szCs w:val="18"/>
              </w:rPr>
              <w:t>语言表达与交流；3. 发展思维能力；4.</w:t>
            </w:r>
            <w:r>
              <w:rPr>
                <w:rFonts w:hint="eastAsia" w:ascii="宋体" w:hAnsi="宋体" w:eastAsia="宋体" w:cs="Times New Roman"/>
                <w:color w:val="000000"/>
              </w:rPr>
              <w:t xml:space="preserve"> </w:t>
            </w:r>
            <w:r>
              <w:rPr>
                <w:rFonts w:hint="eastAsia" w:ascii="宋体" w:hAnsi="宋体" w:eastAsia="宋体" w:cs="Times New Roman"/>
                <w:color w:val="000000"/>
                <w:sz w:val="18"/>
                <w:szCs w:val="18"/>
              </w:rPr>
              <w:t>提升思维品质；5. 审美发现与体验；6. 审美鉴赏与评价；7. 传承中华优秀文化；8.</w:t>
            </w:r>
            <w:r>
              <w:rPr>
                <w:rFonts w:hint="eastAsia" w:ascii="宋体" w:hAnsi="宋体" w:eastAsia="宋体" w:cs="Times New Roman"/>
                <w:color w:val="000000"/>
              </w:rPr>
              <w:t xml:space="preserve"> </w:t>
            </w:r>
            <w:r>
              <w:rPr>
                <w:rFonts w:hint="eastAsia" w:ascii="宋体" w:hAnsi="宋体" w:eastAsia="宋体" w:cs="Times New Roman"/>
                <w:color w:val="000000"/>
                <w:sz w:val="18"/>
                <w:szCs w:val="18"/>
              </w:rPr>
              <w:t>关注、参与当代文化。</w:t>
            </w:r>
          </w:p>
        </w:tc>
        <w:tc>
          <w:tcPr>
            <w:tcW w:w="3685" w:type="dxa"/>
            <w:tcBorders>
              <w:left w:val="single" w:color="auto" w:sz="4" w:space="0"/>
              <w:right w:val="single" w:color="auto" w:sz="4" w:space="0"/>
            </w:tcBorders>
            <w:vAlign w:val="center"/>
          </w:tcPr>
          <w:p>
            <w:pPr>
              <w:widowControl/>
              <w:rPr>
                <w:rFonts w:ascii="宋体" w:hAnsi="宋体" w:eastAsia="宋体" w:cs="Times New Roman"/>
                <w:b/>
                <w:color w:val="000000"/>
                <w:sz w:val="18"/>
                <w:szCs w:val="18"/>
              </w:rPr>
            </w:pPr>
            <w:r>
              <w:rPr>
                <w:rFonts w:hint="eastAsia" w:ascii="宋体" w:hAnsi="宋体" w:eastAsia="宋体" w:cs="Times New Roman"/>
                <w:b/>
                <w:color w:val="000000"/>
                <w:sz w:val="18"/>
                <w:szCs w:val="18"/>
              </w:rPr>
              <w:t>1.基础模块</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1 语感与语言习得（9学时）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2 中外文学作品选读（18 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3 实用性阅读与交流（18 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4 古代诗文选读（36 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专题 5 中国革命传统作品选读（18 学时）</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专题6社会主义先进文化作品选读（18 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7 整本书阅读与研讨（18 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专题 8 跨媒介阅读与交流（9学时）</w:t>
            </w:r>
          </w:p>
          <w:p>
            <w:pPr>
              <w:widowControl/>
              <w:rPr>
                <w:rFonts w:ascii="宋体" w:hAnsi="宋体" w:eastAsia="宋体" w:cs="Times New Roman"/>
                <w:b/>
                <w:color w:val="000000"/>
                <w:sz w:val="18"/>
                <w:szCs w:val="18"/>
              </w:rPr>
            </w:pPr>
            <w:r>
              <w:rPr>
                <w:rFonts w:hint="eastAsia" w:ascii="宋体" w:hAnsi="宋体" w:eastAsia="宋体" w:cs="Times New Roman"/>
                <w:b/>
                <w:color w:val="000000"/>
                <w:sz w:val="18"/>
                <w:szCs w:val="18"/>
              </w:rPr>
              <w:t>2.职业模块</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专题1劳模精神工匠精神作品研读（27 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2 职场应用写作与交流（18 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3 微写作（9学时）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专题 4 科普作品选读（9学时）</w:t>
            </w:r>
          </w:p>
          <w:p>
            <w:pPr>
              <w:widowControl/>
              <w:rPr>
                <w:rFonts w:ascii="宋体" w:hAnsi="宋体" w:eastAsia="宋体" w:cs="Times New Roman"/>
                <w:b/>
                <w:color w:val="000000"/>
                <w:sz w:val="18"/>
                <w:szCs w:val="18"/>
              </w:rPr>
            </w:pPr>
            <w:r>
              <w:rPr>
                <w:rFonts w:hint="eastAsia" w:ascii="宋体" w:hAnsi="宋体" w:eastAsia="宋体" w:cs="Times New Roman"/>
                <w:b/>
                <w:color w:val="000000"/>
                <w:sz w:val="18"/>
                <w:szCs w:val="18"/>
              </w:rPr>
              <w:t>3.拓展模块</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1 思辨性阅读与表达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专题 2 古代科技著述选读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专题 3 中外文学作品研读</w:t>
            </w:r>
          </w:p>
        </w:tc>
        <w:tc>
          <w:tcPr>
            <w:tcW w:w="1843" w:type="dxa"/>
            <w:tcBorders>
              <w:lef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1.坚持立德树人，发挥语文课程独特的育人功能；</w:t>
            </w:r>
          </w:p>
          <w:p>
            <w:pPr>
              <w:rPr>
                <w:rFonts w:ascii="宋体" w:hAnsi="宋体" w:eastAsia="宋体" w:cs="Times New Roman"/>
                <w:color w:val="000000"/>
                <w:sz w:val="18"/>
                <w:szCs w:val="18"/>
              </w:rPr>
            </w:pPr>
            <w:r>
              <w:rPr>
                <w:rFonts w:ascii="宋体" w:hAnsi="宋体" w:eastAsia="宋体" w:cs="Times New Roman"/>
                <w:color w:val="000000"/>
                <w:sz w:val="18"/>
                <w:szCs w:val="18"/>
              </w:rPr>
              <w:t>2.</w:t>
            </w:r>
            <w:r>
              <w:rPr>
                <w:rFonts w:hint="eastAsia" w:ascii="宋体" w:hAnsi="宋体" w:eastAsia="宋体" w:cs="Times New Roman"/>
                <w:color w:val="000000"/>
                <w:sz w:val="18"/>
                <w:szCs w:val="18"/>
              </w:rPr>
              <w:t xml:space="preserve"> 整体把握语文学科核心素养，合理设计教学活动</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3. 以学生发展为本，根据学生认知特点和能力水平组织教学；</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4. 体现职业教育特点，加强实践与应用；</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5. 提高信息素养，探索信息化背景下教与学方式转变。</w:t>
            </w:r>
          </w:p>
        </w:tc>
        <w:tc>
          <w:tcPr>
            <w:tcW w:w="580"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180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w:t>
            </w:r>
          </w:p>
        </w:tc>
        <w:tc>
          <w:tcPr>
            <w:tcW w:w="709" w:type="dxa"/>
            <w:tcBorders>
              <w:left w:val="single" w:color="auto" w:sz="8"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中职数学</w:t>
            </w:r>
          </w:p>
        </w:tc>
        <w:tc>
          <w:tcPr>
            <w:tcW w:w="737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依据《中等职业学校数学教学大纲》开设，本课程旨在九年义务教育基础上，使学生进一步学习并掌握职业岗位和生活中所必要的数学基础知识；培养学生的计算技能、计算工具使用技能和数据处理技能，培养学生的观察能力、空间想象能力、分析与解决问题能力和数学思维能力；引导学生逐步养成良好的学习习惯、实践意识、创新意识和实事求是的科学态度，提高学生就业能力与创业能力。</w:t>
            </w:r>
          </w:p>
        </w:tc>
        <w:tc>
          <w:tcPr>
            <w:tcW w:w="3685"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课程的教学内容由基础模块、职业模块和拓展模块三个部分构成。</w:t>
            </w:r>
            <w:r>
              <w:rPr>
                <w:rFonts w:ascii="宋体" w:hAnsi="宋体" w:eastAsia="宋体" w:cs="Times New Roman"/>
                <w:color w:val="000000"/>
                <w:sz w:val="18"/>
                <w:szCs w:val="18"/>
              </w:rPr>
              <w:t>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1. </w:t>
            </w:r>
            <w:r>
              <w:rPr>
                <w:rFonts w:hint="eastAsia" w:ascii="宋体" w:hAnsi="宋体" w:eastAsia="宋体" w:cs="Times New Roman"/>
                <w:color w:val="000000"/>
                <w:sz w:val="18"/>
                <w:szCs w:val="18"/>
              </w:rPr>
              <w:t>基础模块是各专业学生必修的基础性内容和应达到的基本要求，教学时数为</w:t>
            </w:r>
            <w:r>
              <w:rPr>
                <w:rFonts w:ascii="宋体" w:hAnsi="宋体" w:eastAsia="宋体" w:cs="Times New Roman"/>
                <w:color w:val="000000"/>
                <w:sz w:val="18"/>
                <w:szCs w:val="18"/>
              </w:rPr>
              <w:t>128</w:t>
            </w:r>
            <w:r>
              <w:rPr>
                <w:rFonts w:hint="eastAsia" w:ascii="宋体" w:hAnsi="宋体" w:eastAsia="宋体" w:cs="Times New Roman"/>
                <w:color w:val="000000"/>
                <w:sz w:val="18"/>
                <w:szCs w:val="18"/>
              </w:rPr>
              <w:t>学时。</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2. </w:t>
            </w:r>
            <w:r>
              <w:rPr>
                <w:rFonts w:hint="eastAsia" w:ascii="宋体" w:hAnsi="宋体" w:eastAsia="宋体" w:cs="Times New Roman"/>
                <w:color w:val="000000"/>
                <w:sz w:val="18"/>
                <w:szCs w:val="18"/>
              </w:rPr>
              <w:t>职业模块是适应学生学习相关专业需要的限定选修内容，各学校根据实际情况进行选择和安排教学，教学时数为</w:t>
            </w:r>
            <w:r>
              <w:rPr>
                <w:rFonts w:ascii="宋体" w:hAnsi="宋体" w:eastAsia="宋体" w:cs="Times New Roman"/>
                <w:color w:val="000000"/>
                <w:sz w:val="18"/>
                <w:szCs w:val="18"/>
              </w:rPr>
              <w:t>32~64</w:t>
            </w:r>
            <w:r>
              <w:rPr>
                <w:rFonts w:hint="eastAsia" w:ascii="宋体" w:hAnsi="宋体" w:eastAsia="宋体" w:cs="Times New Roman"/>
                <w:color w:val="000000"/>
                <w:sz w:val="18"/>
                <w:szCs w:val="18"/>
              </w:rPr>
              <w:t>学时。</w:t>
            </w:r>
            <w:r>
              <w:rPr>
                <w:rFonts w:ascii="宋体" w:hAnsi="宋体" w:eastAsia="宋体" w:cs="Times New Roman"/>
                <w:color w:val="000000"/>
                <w:sz w:val="18"/>
                <w:szCs w:val="18"/>
              </w:rPr>
              <w:t> </w:t>
            </w:r>
          </w:p>
          <w:p>
            <w:pPr>
              <w:widowControl/>
              <w:rPr>
                <w:rFonts w:ascii="仿宋" w:hAnsi="仿宋" w:eastAsia="仿宋" w:cs="仿宋"/>
                <w:color w:val="000000"/>
              </w:rPr>
            </w:pPr>
            <w:r>
              <w:rPr>
                <w:rFonts w:ascii="宋体" w:hAnsi="宋体" w:eastAsia="宋体" w:cs="Times New Roman"/>
                <w:color w:val="000000"/>
                <w:sz w:val="18"/>
                <w:szCs w:val="18"/>
              </w:rPr>
              <w:t>3. </w:t>
            </w:r>
            <w:r>
              <w:rPr>
                <w:rFonts w:hint="eastAsia" w:ascii="宋体" w:hAnsi="宋体" w:eastAsia="宋体" w:cs="Times New Roman"/>
                <w:color w:val="000000"/>
                <w:sz w:val="18"/>
                <w:szCs w:val="18"/>
              </w:rPr>
              <w:t>拓展模块是满足学生个性发展和继续学习需要的任意选修内容，教学时数不做统一规定。</w:t>
            </w:r>
          </w:p>
        </w:tc>
        <w:tc>
          <w:tcPr>
            <w:tcW w:w="1843" w:type="dxa"/>
            <w:tcBorders>
              <w:lef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1.坚持立德树人，发挥数学课程独特的育人功能；</w:t>
            </w:r>
          </w:p>
          <w:p>
            <w:pPr>
              <w:rPr>
                <w:rFonts w:ascii="宋体" w:hAnsi="宋体" w:eastAsia="宋体" w:cs="Times New Roman"/>
                <w:color w:val="000000"/>
                <w:sz w:val="18"/>
                <w:szCs w:val="18"/>
              </w:rPr>
            </w:pPr>
            <w:r>
              <w:rPr>
                <w:rFonts w:ascii="宋体" w:hAnsi="宋体" w:eastAsia="宋体" w:cs="Times New Roman"/>
                <w:color w:val="000000"/>
                <w:sz w:val="18"/>
                <w:szCs w:val="18"/>
              </w:rPr>
              <w:t>2.</w:t>
            </w:r>
            <w:r>
              <w:rPr>
                <w:rFonts w:hint="eastAsia" w:ascii="宋体" w:hAnsi="宋体" w:eastAsia="宋体" w:cs="Times New Roman"/>
                <w:color w:val="000000"/>
                <w:sz w:val="18"/>
                <w:szCs w:val="18"/>
              </w:rPr>
              <w:t xml:space="preserve"> 整体把握数学学科核心素养，合理设计教学活动</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3. 以学生发展为本，根据学生认知特点和能力水平组织教学；</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4. 体现职业教育特点，加强实践与应用；</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5. 提高信息素养，探索信息化背景下教与学方式转变。</w:t>
            </w:r>
          </w:p>
        </w:tc>
        <w:tc>
          <w:tcPr>
            <w:tcW w:w="580"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180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66"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4</w:t>
            </w:r>
          </w:p>
        </w:tc>
        <w:tc>
          <w:tcPr>
            <w:tcW w:w="709" w:type="dxa"/>
            <w:tcBorders>
              <w:left w:val="single" w:color="auto" w:sz="8"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中职英语</w:t>
            </w:r>
          </w:p>
        </w:tc>
        <w:tc>
          <w:tcPr>
            <w:tcW w:w="737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依据《中等职业学校英语教学大纲》开设，本课程旨在九年义务教育基础上，帮助学生进一步学习英语基础知识，培养听、说、读、写等语言技能，初步形成职场英语的应用能力；激发和培养学生学习英语的兴趣，提高学生学习的自信心，帮助学生掌握学习策略，养成良好的学习习惯，提高自主学习能力；引导学生了解、认识中西方文化差异，培养正确的情感、态度和价值观。</w:t>
            </w:r>
          </w:p>
        </w:tc>
        <w:tc>
          <w:tcPr>
            <w:tcW w:w="3685"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本课程的教学内容由基础模块、职业模块和拓展模块三个部分构成。</w:t>
            </w:r>
            <w:r>
              <w:rPr>
                <w:rFonts w:ascii="宋体" w:hAnsi="宋体" w:eastAsia="宋体" w:cs="Times New Roman"/>
                <w:color w:val="000000"/>
                <w:sz w:val="18"/>
                <w:szCs w:val="18"/>
              </w:rPr>
              <w:t>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1. </w:t>
            </w:r>
            <w:r>
              <w:rPr>
                <w:rFonts w:hint="eastAsia" w:ascii="宋体" w:hAnsi="宋体" w:eastAsia="宋体" w:cs="Times New Roman"/>
                <w:color w:val="000000"/>
                <w:sz w:val="18"/>
                <w:szCs w:val="18"/>
              </w:rPr>
              <w:t>基础模块是各专业学生必修的基础性内容，教学时数为</w:t>
            </w:r>
            <w:r>
              <w:rPr>
                <w:rFonts w:ascii="宋体" w:hAnsi="宋体" w:eastAsia="宋体" w:cs="Times New Roman"/>
                <w:color w:val="000000"/>
                <w:sz w:val="18"/>
                <w:szCs w:val="18"/>
              </w:rPr>
              <w:t>128</w:t>
            </w:r>
            <w:r>
              <w:rPr>
                <w:rFonts w:hint="eastAsia" w:ascii="宋体" w:hAnsi="宋体" w:eastAsia="宋体" w:cs="Times New Roman"/>
                <w:color w:val="000000"/>
                <w:sz w:val="18"/>
                <w:szCs w:val="18"/>
              </w:rPr>
              <w:t>～</w:t>
            </w:r>
            <w:r>
              <w:rPr>
                <w:rFonts w:ascii="宋体" w:hAnsi="宋体" w:eastAsia="宋体" w:cs="Times New Roman"/>
                <w:color w:val="000000"/>
                <w:sz w:val="18"/>
                <w:szCs w:val="18"/>
              </w:rPr>
              <w:t>144</w:t>
            </w:r>
            <w:r>
              <w:rPr>
                <w:rFonts w:hint="eastAsia" w:ascii="宋体" w:hAnsi="宋体" w:eastAsia="宋体" w:cs="Times New Roman"/>
                <w:color w:val="000000"/>
                <w:sz w:val="18"/>
                <w:szCs w:val="18"/>
              </w:rPr>
              <w:t>学时。</w:t>
            </w:r>
            <w:r>
              <w:rPr>
                <w:rFonts w:ascii="宋体" w:hAnsi="宋体" w:eastAsia="宋体" w:cs="Times New Roman"/>
                <w:color w:val="000000"/>
                <w:sz w:val="18"/>
                <w:szCs w:val="18"/>
              </w:rPr>
              <w:t>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2. </w:t>
            </w:r>
            <w:r>
              <w:rPr>
                <w:rFonts w:hint="eastAsia" w:ascii="宋体" w:hAnsi="宋体" w:eastAsia="宋体" w:cs="Times New Roman"/>
                <w:color w:val="000000"/>
                <w:sz w:val="18"/>
                <w:szCs w:val="18"/>
              </w:rPr>
              <w:t>职业模块是适应学生学习相关专业需要的限定选修内容，各学校根据实际情况进行选择和安排教学，教学时数为30～50学时。</w:t>
            </w:r>
            <w:r>
              <w:rPr>
                <w:rFonts w:ascii="宋体" w:hAnsi="宋体" w:eastAsia="宋体" w:cs="Times New Roman"/>
                <w:color w:val="000000"/>
                <w:sz w:val="18"/>
                <w:szCs w:val="18"/>
              </w:rPr>
              <w:t>      3. </w:t>
            </w:r>
            <w:r>
              <w:rPr>
                <w:rFonts w:hint="eastAsia" w:ascii="宋体" w:hAnsi="宋体" w:eastAsia="宋体" w:cs="Times New Roman"/>
                <w:color w:val="000000"/>
                <w:sz w:val="18"/>
                <w:szCs w:val="18"/>
              </w:rPr>
              <w:t>拓展模块是满足学生个性发展和继续学习需要的任意选修内容，教学时数不做统一规定。</w:t>
            </w:r>
          </w:p>
        </w:tc>
        <w:tc>
          <w:tcPr>
            <w:tcW w:w="1843" w:type="dxa"/>
            <w:tcBorders>
              <w:lef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1.坚持立德树人，发挥英语课程独特的育人功能；</w:t>
            </w:r>
          </w:p>
          <w:p>
            <w:pPr>
              <w:rPr>
                <w:rFonts w:ascii="宋体" w:hAnsi="宋体" w:eastAsia="宋体" w:cs="Times New Roman"/>
                <w:color w:val="000000"/>
                <w:sz w:val="18"/>
                <w:szCs w:val="18"/>
              </w:rPr>
            </w:pPr>
            <w:r>
              <w:rPr>
                <w:rFonts w:ascii="宋体" w:hAnsi="宋体" w:eastAsia="宋体" w:cs="Times New Roman"/>
                <w:color w:val="000000"/>
                <w:sz w:val="18"/>
                <w:szCs w:val="18"/>
              </w:rPr>
              <w:t>2.</w:t>
            </w:r>
            <w:r>
              <w:rPr>
                <w:rFonts w:hint="eastAsia" w:ascii="宋体" w:hAnsi="宋体" w:eastAsia="宋体" w:cs="Times New Roman"/>
                <w:color w:val="000000"/>
                <w:sz w:val="18"/>
                <w:szCs w:val="18"/>
              </w:rPr>
              <w:t xml:space="preserve"> 整体把握英语学科核心素养，合理设计教学活动</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3. 以学生发展为本，根据学生认知特点和能力水平组织教学；</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4. 体现职业教育特点，加强实践与应用；</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5. 提高信息素养，探索信息化背景下教与学方式转变。</w:t>
            </w:r>
          </w:p>
        </w:tc>
        <w:tc>
          <w:tcPr>
            <w:tcW w:w="580"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180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6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5</w:t>
            </w:r>
          </w:p>
        </w:tc>
        <w:tc>
          <w:tcPr>
            <w:tcW w:w="709" w:type="dxa"/>
            <w:tcBorders>
              <w:left w:val="single" w:color="auto" w:sz="8"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体育与健康</w:t>
            </w:r>
          </w:p>
        </w:tc>
        <w:tc>
          <w:tcPr>
            <w:tcW w:w="737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依据《中等职业学校体育与健康课程标准》（征求意见稿）开设，本课程旨在落实立德树人的根本任务，在九年义务教育基础上，激发学生运动兴趣，培养体育意识和锻炼身体的能力，增强与健康和职业相关的体能；帮助学生树立健康意识，养成良好的生活方式，使学生在运动能力、健康行为和体育品德等核心素养方面获得全面发展。</w:t>
            </w:r>
          </w:p>
        </w:tc>
        <w:tc>
          <w:tcPr>
            <w:tcW w:w="3685"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本课程的教学内容由基础模块、和拓展模块两个部分构成。</w:t>
            </w:r>
            <w:r>
              <w:rPr>
                <w:rFonts w:ascii="宋体" w:hAnsi="宋体" w:eastAsia="宋体" w:cs="Times New Roman"/>
                <w:color w:val="000000"/>
                <w:sz w:val="18"/>
                <w:szCs w:val="18"/>
              </w:rPr>
              <w:t>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1. </w:t>
            </w:r>
            <w:r>
              <w:rPr>
                <w:rFonts w:hint="eastAsia" w:ascii="宋体" w:hAnsi="宋体" w:eastAsia="宋体" w:cs="Times New Roman"/>
                <w:color w:val="000000"/>
                <w:sz w:val="18"/>
                <w:szCs w:val="18"/>
              </w:rPr>
              <w:t>基础模块是各专业学生必修的基础性内容，教学时数为</w:t>
            </w:r>
            <w:r>
              <w:rPr>
                <w:rFonts w:ascii="宋体" w:hAnsi="宋体" w:eastAsia="宋体" w:cs="Times New Roman"/>
                <w:color w:val="000000"/>
                <w:sz w:val="18"/>
                <w:szCs w:val="18"/>
              </w:rPr>
              <w:t>128</w:t>
            </w:r>
            <w:r>
              <w:rPr>
                <w:rFonts w:hint="eastAsia" w:ascii="宋体" w:hAnsi="宋体" w:eastAsia="宋体" w:cs="Times New Roman"/>
                <w:color w:val="000000"/>
                <w:sz w:val="18"/>
                <w:szCs w:val="18"/>
              </w:rPr>
              <w:t>～</w:t>
            </w:r>
            <w:r>
              <w:rPr>
                <w:rFonts w:ascii="宋体" w:hAnsi="宋体" w:eastAsia="宋体" w:cs="Times New Roman"/>
                <w:color w:val="000000"/>
                <w:sz w:val="18"/>
                <w:szCs w:val="18"/>
              </w:rPr>
              <w:t>144</w:t>
            </w:r>
            <w:r>
              <w:rPr>
                <w:rFonts w:hint="eastAsia" w:ascii="宋体" w:hAnsi="宋体" w:eastAsia="宋体" w:cs="Times New Roman"/>
                <w:color w:val="000000"/>
                <w:sz w:val="18"/>
                <w:szCs w:val="18"/>
              </w:rPr>
              <w:t>学时。</w:t>
            </w:r>
            <w:r>
              <w:rPr>
                <w:rFonts w:ascii="宋体" w:hAnsi="宋体" w:eastAsia="宋体" w:cs="Times New Roman"/>
                <w:color w:val="000000"/>
                <w:sz w:val="18"/>
                <w:szCs w:val="18"/>
              </w:rPr>
              <w:t>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2. </w:t>
            </w:r>
            <w:r>
              <w:rPr>
                <w:rFonts w:hint="eastAsia" w:ascii="宋体" w:hAnsi="宋体" w:eastAsia="宋体" w:cs="Times New Roman"/>
                <w:color w:val="000000"/>
                <w:sz w:val="18"/>
                <w:szCs w:val="18"/>
              </w:rPr>
              <w:t>拓展模块是适应学生学习相关专业需要的限定选修内容，各学校根据实际情况进行选择和安排教学，教学时数为30～50学时。</w:t>
            </w:r>
            <w:r>
              <w:rPr>
                <w:rFonts w:ascii="宋体" w:hAnsi="宋体" w:eastAsia="宋体" w:cs="Times New Roman"/>
                <w:color w:val="000000"/>
                <w:sz w:val="18"/>
                <w:szCs w:val="18"/>
              </w:rPr>
              <w:t>      </w:t>
            </w:r>
          </w:p>
        </w:tc>
        <w:tc>
          <w:tcPr>
            <w:tcW w:w="1843" w:type="dxa"/>
            <w:tcBorders>
              <w:lef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1.坚持立德树人，发挥体育课程独特的育人功能；</w:t>
            </w:r>
          </w:p>
          <w:p>
            <w:pPr>
              <w:rPr>
                <w:rFonts w:ascii="宋体" w:hAnsi="宋体" w:eastAsia="宋体" w:cs="Times New Roman"/>
                <w:color w:val="000000"/>
                <w:sz w:val="18"/>
                <w:szCs w:val="18"/>
              </w:rPr>
            </w:pPr>
            <w:r>
              <w:rPr>
                <w:rFonts w:ascii="宋体" w:hAnsi="宋体" w:eastAsia="宋体" w:cs="Times New Roman"/>
                <w:color w:val="000000"/>
                <w:sz w:val="18"/>
                <w:szCs w:val="18"/>
              </w:rPr>
              <w:t>2.</w:t>
            </w:r>
            <w:r>
              <w:rPr>
                <w:rFonts w:hint="eastAsia" w:ascii="宋体" w:hAnsi="宋体" w:eastAsia="宋体" w:cs="Times New Roman"/>
                <w:color w:val="000000"/>
                <w:sz w:val="18"/>
                <w:szCs w:val="18"/>
              </w:rPr>
              <w:t xml:space="preserve"> 整体把握体育学科核心素养，合理设计教学活动</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3. 以学生发展为本，根据学生认知特点和能力水平组织教学；</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4. 体现职业教育特点，加强实践与应用；</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5. 提高信息素养，探索信息化背景下教与学方式的转变。</w:t>
            </w:r>
          </w:p>
        </w:tc>
        <w:tc>
          <w:tcPr>
            <w:tcW w:w="580"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180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616"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6</w:t>
            </w:r>
          </w:p>
        </w:tc>
        <w:tc>
          <w:tcPr>
            <w:tcW w:w="709" w:type="dxa"/>
            <w:tcBorders>
              <w:left w:val="single" w:color="auto" w:sz="8"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音乐与书法</w:t>
            </w:r>
          </w:p>
        </w:tc>
        <w:tc>
          <w:tcPr>
            <w:tcW w:w="7371" w:type="dxa"/>
            <w:tcBorders>
              <w:left w:val="single" w:color="auto" w:sz="8" w:space="0"/>
              <w:bottom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依据《中等职业学校体育与健康课程标准》（征求意见稿）开设，本课程旨在落实立德树人的根本任务，在九年义务教育基础上，激发学生音乐与书法兴趣，培养学生音乐与书法的能力，增强与音乐与书法相关的技能；帮助学生树立情感意识，养成良好的生活方式，使学生在音乐与书法素养方面获得全面发展。</w:t>
            </w:r>
          </w:p>
        </w:tc>
        <w:tc>
          <w:tcPr>
            <w:tcW w:w="3685" w:type="dxa"/>
            <w:tcBorders>
              <w:left w:val="single" w:color="auto" w:sz="4" w:space="0"/>
              <w:bottom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本课程的教学内容由基础模块、和拓展模块两个部分构成。</w:t>
            </w:r>
            <w:r>
              <w:rPr>
                <w:rFonts w:ascii="宋体" w:hAnsi="宋体" w:eastAsia="宋体" w:cs="Times New Roman"/>
                <w:color w:val="000000"/>
                <w:sz w:val="18"/>
                <w:szCs w:val="18"/>
              </w:rPr>
              <w:t>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1. </w:t>
            </w:r>
            <w:r>
              <w:rPr>
                <w:rFonts w:hint="eastAsia" w:ascii="宋体" w:hAnsi="宋体" w:eastAsia="宋体" w:cs="Times New Roman"/>
                <w:color w:val="000000"/>
                <w:sz w:val="18"/>
                <w:szCs w:val="18"/>
              </w:rPr>
              <w:t>基础模块是各专业学生必修的基础性内容，教学时数为17学时。</w:t>
            </w:r>
            <w:r>
              <w:rPr>
                <w:rFonts w:ascii="宋体" w:hAnsi="宋体" w:eastAsia="宋体" w:cs="Times New Roman"/>
                <w:color w:val="000000"/>
                <w:sz w:val="18"/>
                <w:szCs w:val="18"/>
              </w:rPr>
              <w:t>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2. </w:t>
            </w:r>
            <w:r>
              <w:rPr>
                <w:rFonts w:hint="eastAsia" w:ascii="宋体" w:hAnsi="宋体" w:eastAsia="宋体" w:cs="Times New Roman"/>
                <w:color w:val="000000"/>
                <w:sz w:val="18"/>
                <w:szCs w:val="18"/>
              </w:rPr>
              <w:t>拓展模块是适应学生学习相关专业需要的限定选修内容，各学校根据实际情况进行选择和安排教学，教学时数为17学时。</w:t>
            </w:r>
          </w:p>
        </w:tc>
        <w:tc>
          <w:tcPr>
            <w:tcW w:w="1843" w:type="dxa"/>
            <w:tcBorders>
              <w:left w:val="single" w:color="auto" w:sz="4" w:space="0"/>
              <w:bottom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1.坚持立德树人，发挥音乐与书法独特的育人功能；</w:t>
            </w:r>
          </w:p>
          <w:p>
            <w:pPr>
              <w:rPr>
                <w:rFonts w:ascii="宋体" w:hAnsi="宋体" w:eastAsia="宋体" w:cs="Times New Roman"/>
                <w:color w:val="000000"/>
                <w:sz w:val="18"/>
                <w:szCs w:val="18"/>
              </w:rPr>
            </w:pPr>
            <w:r>
              <w:rPr>
                <w:rFonts w:ascii="宋体" w:hAnsi="宋体" w:eastAsia="宋体" w:cs="Times New Roman"/>
                <w:color w:val="000000"/>
                <w:sz w:val="18"/>
                <w:szCs w:val="18"/>
              </w:rPr>
              <w:t>2.</w:t>
            </w:r>
            <w:r>
              <w:rPr>
                <w:rFonts w:hint="eastAsia" w:ascii="宋体" w:hAnsi="宋体" w:eastAsia="宋体" w:cs="Times New Roman"/>
                <w:color w:val="000000"/>
                <w:sz w:val="18"/>
                <w:szCs w:val="18"/>
              </w:rPr>
              <w:t xml:space="preserve"> 整体把握音乐与书法核心素养，合理设计教学活动</w:t>
            </w:r>
          </w:p>
          <w:p>
            <w:pPr>
              <w:rPr>
                <w:rFonts w:ascii="宋体" w:hAnsi="宋体" w:eastAsia="宋体" w:cs="Times New Roman"/>
                <w:color w:val="000000"/>
                <w:sz w:val="18"/>
                <w:szCs w:val="18"/>
              </w:rPr>
            </w:pPr>
            <w:r>
              <w:rPr>
                <w:rFonts w:hint="eastAsia" w:ascii="宋体" w:hAnsi="宋体" w:eastAsia="宋体" w:cs="Times New Roman"/>
                <w:color w:val="000000"/>
                <w:sz w:val="18"/>
                <w:szCs w:val="18"/>
              </w:rPr>
              <w:t>3. 以学生发展为本，根据学生认知特点和能力水平组织教学。</w:t>
            </w:r>
          </w:p>
          <w:p>
            <w:pPr>
              <w:widowControl/>
              <w:rPr>
                <w:rFonts w:ascii="宋体" w:hAnsi="宋体" w:eastAsia="宋体" w:cs="Times New Roman"/>
                <w:color w:val="000000"/>
                <w:sz w:val="18"/>
                <w:szCs w:val="18"/>
              </w:rPr>
            </w:pPr>
          </w:p>
        </w:tc>
        <w:tc>
          <w:tcPr>
            <w:tcW w:w="580"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7</w:t>
            </w:r>
          </w:p>
        </w:tc>
        <w:tc>
          <w:tcPr>
            <w:tcW w:w="709" w:type="dxa"/>
            <w:tcBorders>
              <w:left w:val="single" w:color="auto" w:sz="8" w:space="0"/>
              <w:bottom w:val="single" w:color="auto" w:sz="4"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艺术与审美</w:t>
            </w:r>
          </w:p>
        </w:tc>
        <w:tc>
          <w:tcPr>
            <w:tcW w:w="7371" w:type="dxa"/>
            <w:tcBorders>
              <w:top w:val="single" w:color="auto" w:sz="4" w:space="0"/>
              <w:left w:val="single" w:color="auto" w:sz="8" w:space="0"/>
              <w:bottom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依据中等职业学校公共艺术课程标准（征求意见稿）开设，本课程旨在学生感受音乐魅力，培养音乐爱好；比较不同时代、不同地区、不同民族音乐，尊重世界多元音乐文化，热爱中华优秀传统音乐；了解中外音乐史上重要的音乐家及其代表作品和贡献，认识中外常见的音乐体裁；认识音乐情境，结合感知体验，增强审美鉴赏能力；认识音乐与姊妹艺术、其他学科和专业的关联，激发创新意识；能主动参与校内外丰富多彩的音乐活动、第二课堂和社团实践活动，养成欣赏音乐的习惯，美化社会生活。</w:t>
            </w:r>
          </w:p>
        </w:tc>
        <w:tc>
          <w:tcPr>
            <w:tcW w:w="368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本课程的教学内容由基础模块和拓展模块两部分组成。</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w:t>
            </w:r>
            <w:r>
              <w:rPr>
                <w:rFonts w:hint="eastAsia" w:ascii="宋体" w:hAnsi="宋体" w:eastAsia="宋体" w:cs="Times New Roman"/>
                <w:color w:val="000000"/>
                <w:sz w:val="18"/>
                <w:szCs w:val="18"/>
              </w:rPr>
              <w:t>．基础模块是所有学生必修的基础性内容和应该达到的基本要求，教学时数为8学时。与九年义务教育相衔接，将有利于提高学生艺术鉴赏能力、培养学生创新能力和合作精神，且学生普遍具有一定认知基础、喜闻乐见的音乐和美术作为主要内容。</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w:t>
            </w:r>
            <w:r>
              <w:rPr>
                <w:rFonts w:hint="eastAsia" w:ascii="宋体" w:hAnsi="宋体" w:eastAsia="宋体" w:cs="Times New Roman"/>
                <w:color w:val="000000"/>
                <w:sz w:val="18"/>
                <w:szCs w:val="18"/>
              </w:rPr>
              <w:t>．拓展模块是针对不同专业学生学习或学生个性化发展需要而设置的限定选修内容，教学时数为8学时。主要内容既可以是基础模块的专项拓展，也可以是与基础模块不同的艺术门类；既可以是与专业相结合的艺术拓展，也可以是具有地方特色的民间艺术。</w:t>
            </w:r>
          </w:p>
          <w:p>
            <w:pPr>
              <w:widowControl/>
              <w:rPr>
                <w:rFonts w:ascii="仿宋" w:hAnsi="仿宋" w:eastAsia="仿宋" w:cs="仿宋"/>
                <w:color w:val="000000"/>
              </w:rPr>
            </w:pPr>
            <w:r>
              <w:rPr>
                <w:rFonts w:hint="eastAsia" w:ascii="宋体" w:hAnsi="宋体" w:eastAsia="宋体" w:cs="Times New Roman"/>
                <w:color w:val="000000"/>
                <w:sz w:val="18"/>
                <w:szCs w:val="18"/>
              </w:rPr>
              <w:t>学生在完成基础模块学习后，应当选择拓展模块中的任意两个模块进行学习。</w:t>
            </w:r>
          </w:p>
        </w:tc>
        <w:tc>
          <w:tcPr>
            <w:tcW w:w="1843" w:type="dxa"/>
            <w:tcBorders>
              <w:top w:val="single" w:color="auto" w:sz="4" w:space="0"/>
              <w:left w:val="single" w:color="auto" w:sz="4" w:space="0"/>
              <w:bottom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学校应配备相应的图书、报刊和数字化教学资源，为教师提高业务水平和学生拓展学习创造条件。</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教材内容的选取要坚持社会主义先进文化导向，弘扬中华民族优秀文化，兼顾传统与现代、经典与通俗、国内与国外、基础与拓展，富有生活气息、积极意义与人文内涵，体现经典性、代表性和综合性。</w:t>
            </w:r>
          </w:p>
          <w:p>
            <w:pPr>
              <w:widowControl/>
              <w:rPr>
                <w:rFonts w:ascii="仿宋" w:hAnsi="仿宋" w:eastAsia="仿宋" w:cs="仿宋"/>
                <w:color w:val="000000"/>
              </w:rPr>
            </w:pPr>
          </w:p>
          <w:p>
            <w:pPr>
              <w:spacing w:line="600" w:lineRule="exact"/>
              <w:ind w:right="252" w:rightChars="120" w:firstLine="600"/>
              <w:rPr>
                <w:rFonts w:ascii="仿宋" w:hAnsi="仿宋" w:eastAsia="仿宋" w:cs="仿宋"/>
                <w:color w:val="000000"/>
              </w:rPr>
            </w:pPr>
          </w:p>
        </w:tc>
        <w:tc>
          <w:tcPr>
            <w:tcW w:w="580"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8</w:t>
            </w:r>
          </w:p>
        </w:tc>
        <w:tc>
          <w:tcPr>
            <w:tcW w:w="709" w:type="dxa"/>
            <w:tcBorders>
              <w:left w:val="single" w:color="auto" w:sz="8"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中职历史</w:t>
            </w:r>
          </w:p>
        </w:tc>
        <w:tc>
          <w:tcPr>
            <w:tcW w:w="7371" w:type="dxa"/>
            <w:tcBorders>
              <w:left w:val="single" w:color="auto" w:sz="8" w:space="0"/>
              <w:bottom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 了解唯物史观的基本观点和方法，包括生产力和生产关系之 间的辩证关系、经济基础和上层建筑之间的相互作用、人民群众在社 会发展中的重要作用、人类社会形态经历了从低级到高级的发展过程 等，初步形成正确的历史观；能够将唯物史观运用于历史的学习与探 究中，并将唯物史观作为认识和解决现实问题的指导思想。 2. 知道特定的史事是与特定的时间和空间相联系的；知道划分历 史时间与空间的多种方式；能够在不同的时空框架下理解历史的变化 与延续、统一与多样、局部与整体；在认识现实社会或职业问题时， 能够将认识的对象置于具体的时空条件下进行考察。 3. 知道史料是通向历史认识的桥梁；了解史料的多种类型；能够 尝试搜集、整理、运用可信的史料作为历史论述的证据；能够以实证 精神对待现实问题。 4. 能够依据史实与史料对史事表达自己的看法；能够对同一史事 的不同解释加以评析；学会从历史表象中发现问题，对史事之间的内 在联系作出解释；能够全面客观地评价历史人物；能够实事求是地认 识和评判现实社会与职业发展中的问题。 5. 树立正确的国家观，增强对祖国的认同感；能够认识中华民族 多元一体的历史发展进程，形成对中华民族的认同和正确的民族观， 增强民族团结意识，铸牢中华民族共同体意识；了解并认同中华优秀 传统文化、革命文化、社会主义先进文化，引导学生传承民族气节、崇尚英雄气概，认识中华文明的历史价值和现实意义；拥护中国共产 党领导，认同社会主义核心价值观，树立中国特色社会主义道路自 信、理论自信、制度自信、文化自信；了解世界历史发展的基本进程， 理解和尊重世界各国、各民族的文化传统，树立正确的文化观，形成 开阔的国际视野和人类命运共同体的意识；能够确立积极进取的人生 态度，树立劳动光荣的观念，养成爱岗敬业、诚信公道、精益求精、 协作创新等良好的职业精神，树立正确的世界观、人生观和价值观。</w:t>
            </w:r>
          </w:p>
        </w:tc>
        <w:tc>
          <w:tcPr>
            <w:tcW w:w="3685" w:type="dxa"/>
            <w:tcBorders>
              <w:left w:val="single" w:color="auto" w:sz="4" w:space="0"/>
              <w:bottom w:val="single" w:color="auto" w:sz="4" w:space="0"/>
              <w:right w:val="single" w:color="auto" w:sz="4" w:space="0"/>
            </w:tcBorders>
            <w:vAlign w:val="center"/>
          </w:tcPr>
          <w:p>
            <w:pPr>
              <w:widowControl/>
              <w:rPr>
                <w:rFonts w:ascii="宋体" w:hAnsi="宋体" w:eastAsia="宋体" w:cs="Times New Roman"/>
                <w:b/>
                <w:color w:val="000000"/>
                <w:sz w:val="18"/>
                <w:szCs w:val="18"/>
              </w:rPr>
            </w:pPr>
            <w:r>
              <w:rPr>
                <w:rFonts w:hint="eastAsia" w:ascii="宋体" w:hAnsi="宋体" w:eastAsia="宋体" w:cs="Times New Roman"/>
                <w:b/>
                <w:color w:val="000000"/>
                <w:sz w:val="18"/>
                <w:szCs w:val="18"/>
              </w:rPr>
              <w:t>模块Ⅰ</w:t>
            </w:r>
            <w:r>
              <w:rPr>
                <w:rFonts w:ascii="宋体" w:hAnsi="宋体" w:eastAsia="宋体" w:cs="Times New Roman"/>
                <w:b/>
                <w:color w:val="000000"/>
                <w:sz w:val="18"/>
                <w:szCs w:val="18"/>
              </w:rPr>
              <w:t xml:space="preserve"> “</w:t>
            </w:r>
            <w:r>
              <w:rPr>
                <w:rFonts w:hint="eastAsia" w:ascii="宋体" w:hAnsi="宋体" w:eastAsia="宋体" w:cs="Times New Roman"/>
                <w:b/>
                <w:color w:val="000000"/>
                <w:sz w:val="18"/>
                <w:szCs w:val="18"/>
              </w:rPr>
              <w:t>中国历史”：</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 史前时期与先秦历史；</w:t>
            </w:r>
            <w:r>
              <w:rPr>
                <w:rFonts w:ascii="Calibri" w:hAnsi="Calibri" w:eastAsia="宋体" w:cs="Times New Roman"/>
                <w:color w:val="000000"/>
                <w:sz w:val="18"/>
                <w:szCs w:val="18"/>
              </w:rPr>
              <w:t>2</w:t>
            </w:r>
            <w:r>
              <w:rPr>
                <w:rFonts w:hint="eastAsia" w:ascii="Calibri" w:hAnsi="Calibri" w:eastAsia="宋体" w:cs="Times New Roman"/>
                <w:color w:val="000000"/>
                <w:sz w:val="18"/>
                <w:szCs w:val="18"/>
              </w:rPr>
              <w:t>．秦汉时期统一多民族国家的建立与巩固；3. 三国两晋南北朝时期的政权分立与民族交往交流交；4. 隋唐时期大一统国家的繁荣与开放；5. 宋元时期民族关系与社会经济文化的新发展；6. 明至清中叶统一多民族国家的巩固与社会危机；7. 晚清时期的内忧外患与救亡图存；8. 辛亥革命与民国初年的社会9. 中国共产党成立与新民主主义革命的兴起；10. 中华民族的抗日战争；11. 人民解放战争；12. 中华人民共和国的成立和向社会主义过渡；13. 社会主义建设道路的探索；4. 改革开放新时期与中国特色社会主义进入新时代；15. 精湛的传统工艺</w:t>
            </w:r>
          </w:p>
          <w:p>
            <w:pPr>
              <w:rPr>
                <w:rFonts w:ascii="Calibri" w:hAnsi="Calibri" w:eastAsia="宋体" w:cs="Times New Roman"/>
                <w:b/>
                <w:color w:val="000000"/>
                <w:sz w:val="18"/>
                <w:szCs w:val="18"/>
              </w:rPr>
            </w:pPr>
            <w:r>
              <w:rPr>
                <w:rFonts w:hint="eastAsia" w:ascii="Calibri" w:hAnsi="Calibri" w:eastAsia="宋体" w:cs="Times New Roman"/>
                <w:b/>
                <w:color w:val="000000"/>
                <w:sz w:val="18"/>
                <w:szCs w:val="18"/>
              </w:rPr>
              <w:t>模块Ⅱ</w:t>
            </w:r>
            <w:r>
              <w:rPr>
                <w:rFonts w:ascii="Calibri" w:hAnsi="Calibri" w:eastAsia="宋体" w:cs="Times New Roman"/>
                <w:b/>
                <w:color w:val="000000"/>
                <w:sz w:val="18"/>
                <w:szCs w:val="18"/>
              </w:rPr>
              <w:t>“</w:t>
            </w:r>
            <w:r>
              <w:rPr>
                <w:rFonts w:hint="eastAsia" w:ascii="Calibri" w:hAnsi="Calibri" w:eastAsia="宋体" w:cs="Times New Roman"/>
                <w:b/>
                <w:color w:val="000000"/>
                <w:sz w:val="18"/>
                <w:szCs w:val="18"/>
              </w:rPr>
              <w:t>世界历史”</w:t>
            </w:r>
          </w:p>
          <w:p>
            <w:pPr>
              <w:rPr>
                <w:rFonts w:ascii="Calibri" w:hAnsi="Calibri" w:eastAsia="宋体" w:cs="Times New Roman"/>
                <w:color w:val="000000"/>
                <w:sz w:val="18"/>
                <w:szCs w:val="18"/>
              </w:rPr>
            </w:pPr>
            <w:r>
              <w:rPr>
                <w:rFonts w:hint="eastAsia" w:ascii="Calibri" w:hAnsi="Calibri" w:eastAsia="宋体" w:cs="Times New Roman"/>
                <w:color w:val="000000"/>
                <w:sz w:val="18"/>
                <w:szCs w:val="18"/>
              </w:rPr>
              <w:t>1.多样的文明古国；2. 中古时期的区域文明；3. 资本主义的兴起与全球联系的建立；4.</w:t>
            </w:r>
            <w:r>
              <w:rPr>
                <w:rFonts w:hint="eastAsia" w:ascii="Calibri" w:hAnsi="Calibri" w:eastAsia="宋体" w:cs="Times New Roman"/>
                <w:color w:val="000000"/>
              </w:rPr>
              <w:t xml:space="preserve"> </w:t>
            </w:r>
            <w:r>
              <w:rPr>
                <w:rFonts w:hint="eastAsia" w:ascii="Calibri" w:hAnsi="Calibri" w:eastAsia="宋体" w:cs="Times New Roman"/>
                <w:color w:val="000000"/>
                <w:sz w:val="18"/>
                <w:szCs w:val="18"/>
              </w:rPr>
              <w:t>改变世界面貌的工业革命；5. 马克思主义的诞生与传播；6. 资本主义的扩展与亚非拉地区的民族独立运动；7. 第一次世界大战和俄国十月革命；8.</w:t>
            </w:r>
            <w:r>
              <w:rPr>
                <w:rFonts w:hint="eastAsia" w:ascii="Calibri" w:hAnsi="Calibri" w:eastAsia="宋体" w:cs="Times New Roman"/>
                <w:color w:val="000000"/>
              </w:rPr>
              <w:t xml:space="preserve"> </w:t>
            </w:r>
            <w:r>
              <w:rPr>
                <w:rFonts w:hint="eastAsia" w:ascii="Calibri" w:hAnsi="Calibri" w:eastAsia="宋体" w:cs="Times New Roman"/>
                <w:color w:val="000000"/>
                <w:sz w:val="18"/>
                <w:szCs w:val="18"/>
              </w:rPr>
              <w:t>苏联的社会主义建设和资本主义世界经济危机；9.</w:t>
            </w:r>
            <w:r>
              <w:rPr>
                <w:rFonts w:hint="eastAsia" w:ascii="Calibri" w:hAnsi="Calibri" w:eastAsia="宋体" w:cs="Times New Roman"/>
                <w:color w:val="000000"/>
              </w:rPr>
              <w:t xml:space="preserve"> </w:t>
            </w:r>
            <w:r>
              <w:rPr>
                <w:rFonts w:hint="eastAsia" w:ascii="Calibri" w:hAnsi="Calibri" w:eastAsia="宋体" w:cs="Times New Roman"/>
                <w:color w:val="000000"/>
                <w:sz w:val="18"/>
                <w:szCs w:val="18"/>
              </w:rPr>
              <w:t>第二次世界大战；10.</w:t>
            </w:r>
            <w:r>
              <w:rPr>
                <w:rFonts w:hint="eastAsia" w:ascii="Calibri" w:hAnsi="Calibri" w:eastAsia="宋体" w:cs="Times New Roman"/>
                <w:color w:val="000000"/>
              </w:rPr>
              <w:t xml:space="preserve"> </w:t>
            </w:r>
            <w:r>
              <w:rPr>
                <w:rFonts w:hint="eastAsia" w:ascii="Calibri" w:hAnsi="Calibri" w:eastAsia="宋体" w:cs="Times New Roman"/>
                <w:color w:val="000000"/>
                <w:sz w:val="18"/>
                <w:szCs w:val="18"/>
              </w:rPr>
              <w:t>两极格局下的世界；11.</w:t>
            </w:r>
            <w:r>
              <w:rPr>
                <w:rFonts w:hint="eastAsia" w:ascii="Calibri" w:hAnsi="Calibri" w:eastAsia="宋体" w:cs="Times New Roman"/>
                <w:color w:val="000000"/>
              </w:rPr>
              <w:t xml:space="preserve"> </w:t>
            </w:r>
            <w:r>
              <w:rPr>
                <w:rFonts w:hint="eastAsia" w:ascii="Calibri" w:hAnsi="Calibri" w:eastAsia="宋体" w:cs="Times New Roman"/>
                <w:color w:val="000000"/>
                <w:sz w:val="18"/>
                <w:szCs w:val="18"/>
              </w:rPr>
              <w:t>冷战结束后的世界</w:t>
            </w:r>
          </w:p>
          <w:p>
            <w:pPr>
              <w:rPr>
                <w:rFonts w:ascii="Calibri" w:hAnsi="Calibri" w:eastAsia="宋体" w:cs="Times New Roman"/>
                <w:color w:val="000000"/>
              </w:rPr>
            </w:pPr>
          </w:p>
        </w:tc>
        <w:tc>
          <w:tcPr>
            <w:tcW w:w="1843" w:type="dxa"/>
            <w:tcBorders>
              <w:left w:val="single" w:color="auto" w:sz="4" w:space="0"/>
              <w:bottom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教师应摆脱单一课堂教学组织形式和单纯语言信息传递形式，结 合教学内容，创新教学形式、教学过程和教学方法，开展多种形式的 教学；鼓励学生开展自主学习、探究学习和合作学习，在做中教、做 中学，调动和发挥学生学习的积极性、主动性和创造性。</w:t>
            </w:r>
          </w:p>
        </w:tc>
        <w:tc>
          <w:tcPr>
            <w:tcW w:w="580"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9</w:t>
            </w:r>
          </w:p>
        </w:tc>
        <w:tc>
          <w:tcPr>
            <w:tcW w:w="709" w:type="dxa"/>
            <w:tcBorders>
              <w:left w:val="single" w:color="auto" w:sz="8" w:space="0"/>
              <w:right w:val="single" w:color="auto" w:sz="8" w:space="0"/>
            </w:tcBorders>
            <w:vAlign w:val="center"/>
          </w:tcPr>
          <w:p>
            <w:pPr>
              <w:widowControl/>
              <w:jc w:val="center"/>
              <w:rPr>
                <w:rFonts w:ascii="宋体" w:hAnsi="宋体" w:eastAsia="宋体" w:cs="Times New Roman"/>
                <w:color w:val="000000"/>
                <w:sz w:val="18"/>
                <w:szCs w:val="18"/>
              </w:rPr>
            </w:pPr>
            <w:r>
              <w:rPr>
                <w:rFonts w:hint="eastAsia" w:ascii="Times New Roman" w:hAnsi="Times New Roman" w:eastAsia="宋体" w:cs="Times New Roman"/>
                <w:color w:val="000000"/>
                <w:sz w:val="18"/>
                <w:szCs w:val="18"/>
              </w:rPr>
              <w:t>中职物理</w:t>
            </w:r>
          </w:p>
        </w:tc>
        <w:tc>
          <w:tcPr>
            <w:tcW w:w="7371" w:type="dxa"/>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物理课程是中等职业学校学生选修的一门公共基础课，本课程的任务是：使学生掌握必要的物理基础知识和基本技能，激发学生探索自然、理解自然的兴趣，增强学生的创新意识和实践能力；使学生认识物理对科技进步，对文化、经济和社会发展的影响，帮助学生适应现代生产和现代生活；提高学生的科学文化素质和综合职业能力，帮助学生形成正确的世界观、人生观和价值观。</w:t>
            </w:r>
          </w:p>
        </w:tc>
        <w:tc>
          <w:tcPr>
            <w:tcW w:w="368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本课程采用模块化设计方式，由基础模块、职业模块和拓展模块构成。</w:t>
            </w:r>
            <w:r>
              <w:rPr>
                <w:rFonts w:ascii="Times New Roman" w:hAnsi="Times New Roman" w:eastAsia="宋体" w:cs="Times New Roman"/>
                <w:color w:val="000000"/>
                <w:sz w:val="18"/>
                <w:szCs w:val="18"/>
              </w:rPr>
              <w:t> 1. </w:t>
            </w:r>
            <w:r>
              <w:rPr>
                <w:rFonts w:hint="eastAsia" w:ascii="Times New Roman" w:hAnsi="Times New Roman" w:eastAsia="宋体" w:cs="Times New Roman"/>
                <w:color w:val="000000"/>
                <w:sz w:val="18"/>
                <w:szCs w:val="18"/>
              </w:rPr>
              <w:t>基础模块是本课程的基础性内容和应达到的基本要求，主要包括物理基础知识和基本技能，教学时数为16学时。</w:t>
            </w:r>
            <w:r>
              <w:rPr>
                <w:rFonts w:ascii="Times New Roman" w:hAnsi="Times New Roman" w:eastAsia="宋体" w:cs="Times New Roman"/>
                <w:color w:val="000000"/>
                <w:sz w:val="18"/>
                <w:szCs w:val="18"/>
              </w:rPr>
              <w:t> </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2. </w:t>
            </w:r>
            <w:r>
              <w:rPr>
                <w:rFonts w:hint="eastAsia" w:ascii="Times New Roman" w:hAnsi="Times New Roman" w:eastAsia="宋体" w:cs="Times New Roman"/>
                <w:color w:val="000000"/>
                <w:sz w:val="18"/>
                <w:szCs w:val="18"/>
              </w:rPr>
              <w:t>职业模块是适应学生学习相关专业需要的限定选修内容，教学时数为</w:t>
            </w:r>
            <w:r>
              <w:rPr>
                <w:rFonts w:ascii="Times New Roman" w:hAnsi="Times New Roman" w:eastAsia="宋体" w:cs="Times New Roman"/>
                <w:color w:val="000000"/>
                <w:sz w:val="18"/>
                <w:szCs w:val="18"/>
              </w:rPr>
              <w:t>16</w:t>
            </w:r>
            <w:r>
              <w:rPr>
                <w:rFonts w:hint="eastAsia" w:ascii="Times New Roman" w:hAnsi="Times New Roman" w:eastAsia="宋体" w:cs="Times New Roman"/>
                <w:color w:val="000000"/>
                <w:sz w:val="18"/>
                <w:szCs w:val="18"/>
              </w:rPr>
              <w:t>学时。该模块是使学生在学习基础模块的基础上，根据专业学习的需要和行业的需求，有重点、有选择地进一步学习相关物理知识，培养相关技能。</w:t>
            </w:r>
          </w:p>
          <w:p>
            <w:pPr>
              <w:widowControl/>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在基础模块和职业模块中，均设置了一些与生产、生活实际密切相关的实践活动，体现物理课程贴近生活、为专业学习奠定基础的理念。</w:t>
            </w:r>
            <w:r>
              <w:rPr>
                <w:rFonts w:ascii="Times New Roman" w:hAnsi="Times New Roman" w:eastAsia="宋体" w:cs="Times New Roman"/>
                <w:color w:val="000000"/>
                <w:sz w:val="18"/>
                <w:szCs w:val="18"/>
              </w:rPr>
              <w:t> </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3. </w:t>
            </w:r>
            <w:r>
              <w:rPr>
                <w:rFonts w:hint="eastAsia" w:ascii="Times New Roman" w:hAnsi="Times New Roman" w:eastAsia="宋体" w:cs="Times New Roman"/>
                <w:color w:val="000000"/>
                <w:sz w:val="18"/>
                <w:szCs w:val="18"/>
              </w:rPr>
              <w:t>拓展模块是满足学生个性发展和继续学习需要的任意选修内容，该模块是基础模块、职业模块的进一步拓展和延伸。</w:t>
            </w:r>
          </w:p>
        </w:tc>
        <w:tc>
          <w:tcPr>
            <w:tcW w:w="1843" w:type="dxa"/>
            <w:tcBorders>
              <w:top w:val="single" w:color="auto" w:sz="4" w:space="0"/>
              <w:left w:val="single" w:color="auto" w:sz="4" w:space="0"/>
              <w:bottom w:val="single" w:color="auto" w:sz="4" w:space="0"/>
            </w:tcBorders>
            <w:vAlign w:val="center"/>
          </w:tcPr>
          <w:p>
            <w:pPr>
              <w:widowControl/>
              <w:jc w:val="left"/>
              <w:rPr>
                <w:rFonts w:ascii="Times New Roman" w:hAnsi="Times New Roman" w:eastAsia="宋体" w:cs="Times New Roman"/>
                <w:color w:val="000000"/>
                <w:sz w:val="18"/>
                <w:szCs w:val="18"/>
              </w:rPr>
            </w:pPr>
            <w:r>
              <w:rPr>
                <w:rFonts w:hint="eastAsia" w:ascii="宋体" w:hAnsi="宋体" w:eastAsia="宋体" w:cs="Times New Roman"/>
                <w:color w:val="000000"/>
                <w:sz w:val="18"/>
                <w:szCs w:val="18"/>
              </w:rPr>
              <w:t>教师应摆脱单一课堂教学组织形式和单纯语言信息传递形式，结 合教学内容，创新教学形式、教学过程和教学方法，开展多种形式的 教学；鼓励学生开展自主学习、探究学习和合作学习，在做中教、做 中学，调动和发挥学生学习的积极性、主动性和创造性。</w:t>
            </w:r>
          </w:p>
        </w:tc>
        <w:tc>
          <w:tcPr>
            <w:tcW w:w="580"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10</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思想道德修养与法律基础</w:t>
            </w:r>
          </w:p>
        </w:tc>
        <w:tc>
          <w:tcPr>
            <w:tcW w:w="7371" w:type="dxa"/>
            <w:tcBorders>
              <w:left w:val="single" w:color="auto" w:sz="8" w:space="0"/>
              <w:right w:val="single" w:color="auto" w:sz="4" w:space="0"/>
            </w:tcBorders>
            <w:vAlign w:val="center"/>
          </w:tcPr>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1．知识目标：使学生领悟人生真谛，形成正确的道德认知，把我社会主义法律的本质、运行和体系，增强马克思主义理论基础。</w:t>
            </w:r>
          </w:p>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2．能力目标：加强思想道德修养，增强学法、用法的自觉性，进一步提高辨别是非、善恶、美丑和加强自我修养的能力，提高学生分析问题、解决问题的能力。</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 素质目标：使学生坚定理想信念，增强学生国情怀，陶冶高尚道德情操，树立正确的世界观、人生观、价值观、道德观和法治观，提高学生的思想道德素质和法治素养。</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以社会主义核心价值观为主线，以理想信念教育为核心，以爱国主义教育为重点，对大学生进行人生观、价值观、道德观和法治观教育。</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案例教学法、课堂讲授法、讨论式教学法、视频观摩互动法、案例教学法</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11</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毛泽东思想和中国特色社会主义理论体系概论</w:t>
            </w:r>
          </w:p>
        </w:tc>
        <w:tc>
          <w:tcPr>
            <w:tcW w:w="7371" w:type="dxa"/>
            <w:tcBorders>
              <w:left w:val="single" w:color="auto" w:sz="8" w:space="0"/>
              <w:right w:val="single" w:color="auto" w:sz="4" w:space="0"/>
            </w:tcBorders>
            <w:vAlign w:val="center"/>
          </w:tcPr>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知识目标：帮助学生了解毛泽东思想、邓小平理论、“三个代表”重要思想、科学发展观、习近平新时代中国特色社会主义思想，系统把握马克思主义中国化理论成果的形成发展过程、主要内容体系、历史地位和指导意义。</w:t>
            </w:r>
          </w:p>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2.能力目标：培养学生运用马克思主义的立场、观点和方法分析解决问题的能力，增强执行党的基本路线和基本方略的自觉性和坚定，提高为中国特色社会主义伟大实践服务的本领。</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3.素质目标：提高学生马克思主义理论修养和思想政治素质，培养德智体美劳全面发展的中国特色社会主义合格建设者和可靠接班人。</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马克思主义中国化理论成果，即毛泽东思想、邓小平理论、“三个代表”重要思想、科学发展观、习近平新时代中国特色社会主义思想产生形成发展过程、主要内容体系、历史地位和指导意义。</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讲授法、案例法、讨论法、视频展示法</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12</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体育与健康</w:t>
            </w:r>
          </w:p>
        </w:tc>
        <w:tc>
          <w:tcPr>
            <w:tcW w:w="7371" w:type="dxa"/>
            <w:tcBorders>
              <w:left w:val="single" w:color="auto" w:sz="8" w:space="0"/>
              <w:right w:val="single" w:color="auto" w:sz="4" w:space="0"/>
            </w:tcBorders>
            <w:vAlign w:val="center"/>
          </w:tcPr>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体育课程是大学生以身体练习为主要手段，通过合理的体育教育和科学的体育锻炼过程，达到增强体质、增进健康和提高体育素养为主要目标的公共必修课程；</w:t>
            </w:r>
          </w:p>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1.身心健康目标：增强学生体质，促进学生的身心健康和谐发展，养成积极乐观的生活态度，形成健康的生活方式，具有健康的体魄；</w:t>
            </w:r>
          </w:p>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2.运动技能目标：熟练掌握健身运动的基本技能、基本理论知识及组织比赛、裁判方法；能有序的、科学的进行体育锻炼，并掌握处理运动损伤的方法；</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3.终身体育目标：积极参与各种体育活动，基本养成自觉锻炼身体的习惯，形成终身体育的意识，能够具有一定的体育文化欣赏能力。</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主要内容有体育与健康基本理论知识、大学体育、运动竞赛、体育锻炼和体质评价等。</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1、高等学校体育、体育卫生与保健、身体素质练习与考核；</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2、体育保健课程、运动处方、康复保健与适应性练习等；</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3、学生体质健康标准测评。</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充分反映和体现教育部、国家体育总局制定的《学生体质健康标准（试行方案）》的内容和要求。</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讲授、项目教学、分层教学。</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144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13</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大学英语</w:t>
            </w:r>
          </w:p>
        </w:tc>
        <w:tc>
          <w:tcPr>
            <w:tcW w:w="7371" w:type="dxa"/>
            <w:tcBorders>
              <w:left w:val="single" w:color="auto" w:sz="8" w:space="0"/>
              <w:right w:val="single" w:color="auto" w:sz="4" w:space="0"/>
            </w:tcBorders>
            <w:vAlign w:val="center"/>
          </w:tcPr>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1.夯实英语基础，提高语言技能，特别是听说能力，能用英语进行日常交流和职场交际；</w:t>
            </w:r>
          </w:p>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2.能够运用阅读技巧分析、理解阅读篇章；</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3.提高综合文化素养和跨文化交际意识，培养自主学习能力和职业能力。</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1.精读；</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2.听力。</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多媒体；视频、音频教学；小组讨论。</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14</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高等数学</w:t>
            </w:r>
          </w:p>
        </w:tc>
        <w:tc>
          <w:tcPr>
            <w:tcW w:w="7371" w:type="dxa"/>
            <w:tcBorders>
              <w:left w:val="single" w:color="auto" w:sz="8" w:space="0"/>
              <w:right w:val="single" w:color="auto" w:sz="4" w:space="0"/>
            </w:tcBorders>
            <w:vAlign w:val="center"/>
          </w:tcPr>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1、掌握数学的思想，理论联系实际，建立数学模型，解决一些实际问题；</w:t>
            </w:r>
          </w:p>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2、掌握所学的定义、公式，学会思考解决问题的方法；</w:t>
            </w:r>
          </w:p>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3、掌握数学的思想，理论联系实际，建立数学模型，借助于现代先进的软件计算，解决实际问题；</w:t>
            </w:r>
          </w:p>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4、能够根据数学的思想理念，运用所学的定义和知识，思考解决问题的演绎法；</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5、在学习数学的过程中，加大理论联系实际的力度，提高学生综合分析问题和解决问题的能力。</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1、函数的性质，建立函数关系；</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2、函数连续的定义及性质，间断点的分类；</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3、导数的概念，导数的运算法则；</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4、微分的概念，微分的运算法则；</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5、原函数、不定积分的概念，求不定积分的方法；</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6、定积分的概念，定积分的计算公式；微分方程的概念及运算。</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7、导数与积分的应用。</w:t>
            </w:r>
          </w:p>
        </w:tc>
        <w:tc>
          <w:tcPr>
            <w:tcW w:w="1843" w:type="dxa"/>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多媒体；</w:t>
            </w:r>
          </w:p>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案例分析。</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15</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心理健康教育</w:t>
            </w:r>
          </w:p>
        </w:tc>
        <w:tc>
          <w:tcPr>
            <w:tcW w:w="7371" w:type="dxa"/>
            <w:tcBorders>
              <w:left w:val="single" w:color="auto" w:sz="8"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使大学生能够关注自我及他人的心理健康，树立起维护心理健康的意识，学会和掌握心理调解的方法，解决成长过程中遇到的各种问题，有效预防大学生心理疾病和心理危机的发生，提升大学生的心理素质，促进大学生的全面发展和健康成长</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主要内容为大学生自我认知、人际交往、挫折应对、情绪调控、个性完善，学会学习，恋爱认知和职业规划等。针对学生的认知规律和心理特点，采用课堂讲授＋情景模拟+新概念作业+心理影片+心理测试+团体活动等多样化的教学方式，有针对性地讲授心理健康知识，开展辅导或咨询活动，突出实践与体验。</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采用课堂讲授＋情景模拟+新概念作业+心理影片+心理测试+团体活动等多样化的教学方式。</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16</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形势与政策</w:t>
            </w:r>
          </w:p>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（1103X1001110）</w:t>
            </w:r>
          </w:p>
        </w:tc>
        <w:tc>
          <w:tcPr>
            <w:tcW w:w="7371" w:type="dxa"/>
            <w:tcBorders>
              <w:left w:val="single" w:color="auto" w:sz="8"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本课程通过适时地进行形势政策、世界政治经济与国际关系基本知识的教育，帮助学生及时了解和正确对待国内外重大时事，引导学生牢树“四个意识”，坚定“四个信念”，增强大学生执行党和政府各项重大路线、方针和政策的自觉性和责任感。</w:t>
            </w:r>
          </w:p>
        </w:tc>
        <w:tc>
          <w:tcPr>
            <w:tcW w:w="3685" w:type="dxa"/>
            <w:tcBorders>
              <w:left w:val="single" w:color="auto" w:sz="4" w:space="0"/>
              <w:right w:val="single" w:color="auto" w:sz="4" w:space="0"/>
            </w:tcBorders>
            <w:vAlign w:val="center"/>
          </w:tcPr>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本课程主要内容通过讲授全面从严治党、我国经济社会发展、港澳台工作、国际形势与政策四个方向的相关专题，帮助学生深刻把握习近平新时代中国特色社会主义思想的重大意义、</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科学体系、精神实质、实践要求。教学要求主要是通过教师专题讲授、形势报告、讲座方式并结合实践教学进行。</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采用专题讲授、形势报告、讲座方式并结合实践教学进行。</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17</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计算机应用基础</w:t>
            </w:r>
          </w:p>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（020111002110）</w:t>
            </w:r>
          </w:p>
        </w:tc>
        <w:tc>
          <w:tcPr>
            <w:tcW w:w="7371" w:type="dxa"/>
            <w:tcBorders>
              <w:left w:val="single" w:color="auto" w:sz="8"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通过课程学习，培养学生良好的信息技术应用能力，包括信息的获取、传输、处理、应用与发布等，为学生的终身学习和持续发展打下良好的基础。</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主要内容包括计算机基础知识、网络与信息安全、Windows7入门、Word2010文字处理、Execl2010电子表格、PowerPoint2010演示文稿等。教学以全国计算机等级考试一级MSOffice考试为基本要求，指导学生完成教师布置的每章习题与任务，并参加计算机等级考试。</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采用项目案例+上机实操训练相结合</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18</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军事理论与安全教育</w:t>
            </w:r>
          </w:p>
        </w:tc>
        <w:tc>
          <w:tcPr>
            <w:tcW w:w="7371" w:type="dxa"/>
            <w:tcBorders>
              <w:left w:val="single" w:color="auto" w:sz="8"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军事理论课程以国防教育为主线，通过军事课教学，使大学生掌握基本军事理论知识，达到增强国防观念和国家安全意识，强化爱国主义、集体主义观念，加强组织纪律性，促进大学生综合素质的提高，为中国人民解放军训练后备兵员和培养预备役军官打下坚实基础。</w:t>
            </w:r>
          </w:p>
        </w:tc>
        <w:tc>
          <w:tcPr>
            <w:tcW w:w="3685" w:type="dxa"/>
            <w:tcBorders>
              <w:left w:val="single" w:color="auto" w:sz="4" w:space="0"/>
              <w:right w:val="single" w:color="auto" w:sz="4" w:space="0"/>
            </w:tcBorders>
            <w:vAlign w:val="center"/>
          </w:tcPr>
          <w:p>
            <w:pPr>
              <w:widowControl/>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中国国防、国家安全、军事思想、现代战争、信息化装备、共同条令教育与训练、轻武器射击与战术训练、防卫技能与战时防护训练、战备基础与应用训练等。</w:t>
            </w:r>
          </w:p>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教学要求：增强国防观念，强化学生关心国防，热爱国防，自觉参加和支持国防建设观念；明确我军的性质、任务和军队建设的指导思想，树立科学的战争观和方法论；牢固树立“科学技术是第一生产力”的观点，激发学生开展技术创新的热情；树立为国防建设服务的思想；养成坚定地爱国主义精神。</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采用网络平台+讲座+社会实践方式</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18</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大学生职业生涯规划</w:t>
            </w:r>
          </w:p>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（120211001110）</w:t>
            </w:r>
          </w:p>
        </w:tc>
        <w:tc>
          <w:tcPr>
            <w:tcW w:w="7371" w:type="dxa"/>
            <w:tcBorders>
              <w:left w:val="single" w:color="auto" w:sz="8"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通过激发大学生职业生涯发展的自主意识，促使学生能理性地规划自身未来的发展，并努力在学习过程中自觉地提高就业能力和生涯管理能力。</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本课程既有知识的传授，也有技能的培养，还有态度、观念的转变，是集理论课、实务课和经验课为一体的综合课程。</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采用课堂讲授、典型案例分析、情景模拟训练、小组讨论、角色扮演、社会调查、实习、见习等方法。</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20</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就业指导</w:t>
            </w:r>
          </w:p>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（120351001110）</w:t>
            </w:r>
          </w:p>
        </w:tc>
        <w:tc>
          <w:tcPr>
            <w:tcW w:w="7371" w:type="dxa"/>
            <w:tcBorders>
              <w:left w:val="single" w:color="auto" w:sz="8"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引导学生掌握职业生涯发展的基本理论和方法，促使大学生理性规划自身发展，在学习过程中自觉提高就业能力和生涯管理能力，有效促进大学生求职择业与自主创业。</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本课程坚持“校企合作、产学结合”，强化“学校、行业、人社”三者相互融合的理念，从“大学生、用人单位、人才机构、高等院校”四个角度出发，理论体系系统化，将课程结构以模块化、主题式安排，包括 8大模块，22个主题。</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采用课堂讲授、典型案例分析、情景模拟训练、小组讨论、社会调查、实习、见习等方法。</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21</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创新创业基础</w:t>
            </w:r>
          </w:p>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（000121002110）</w:t>
            </w:r>
          </w:p>
        </w:tc>
        <w:tc>
          <w:tcPr>
            <w:tcW w:w="7371" w:type="dxa"/>
            <w:tcBorders>
              <w:left w:val="single" w:color="auto" w:sz="8"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以培养学生的创新思维和方法培养核心、以创新实践过程为载体，激发学生创新意识、培养学生创新思维和方法、了解创新实践流程、养成创新习惯，进而全面提升大学生创新六大素养为主要课程目标，为大学生创业提供全面指导，帮助大学生培养创业意识和创新创业能力。为有志于创业的大学生提供平台支持，让大学生在最短的时间内最大限度地延展人生的宽度和广度。</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本课程遵循教育教学规律，坚持理论讲授与案例分析相结合，经验传授与创业实践相结合，紧密结合现阶段社会发展形势和当代大学创业的现状，结合大学生创业的真实案例，为大学生的创业提供全面的指导和大学生的创业进行全面的定位和分析，以提高大学生的创业能力。</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采用头脑风暴、小组讨论、角色体验等教学方式，利用翻转课堂模式，线上线下学习相结合。</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 w:hRule="atLeast"/>
          <w:jc w:val="center"/>
        </w:trPr>
        <w:tc>
          <w:tcPr>
            <w:tcW w:w="515" w:type="dxa"/>
            <w:vAlign w:val="center"/>
          </w:tcPr>
          <w:p>
            <w:pPr>
              <w:widowControl/>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FF0000"/>
                <w:sz w:val="18"/>
                <w:szCs w:val="18"/>
              </w:rPr>
              <w:t>22</w:t>
            </w:r>
          </w:p>
        </w:tc>
        <w:tc>
          <w:tcPr>
            <w:tcW w:w="709" w:type="dxa"/>
            <w:tcBorders>
              <w:left w:val="single" w:color="auto" w:sz="8" w:space="0"/>
              <w:righ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大学语文</w:t>
            </w:r>
          </w:p>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（1001X1001110）</w:t>
            </w:r>
          </w:p>
        </w:tc>
        <w:tc>
          <w:tcPr>
            <w:tcW w:w="7371" w:type="dxa"/>
            <w:tcBorders>
              <w:left w:val="single" w:color="auto" w:sz="8"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通过文学体会语文魅力的同时，将文学中固有的智慧、感性、经验、审美意识、生命理想等等发掘和展示出来，立德树人，传扬中华优秀传统文化。同时进一步提高大学生阅读分析能力和写作表达能力，培养学生的人文精神和职业素养。</w:t>
            </w:r>
          </w:p>
        </w:tc>
        <w:tc>
          <w:tcPr>
            <w:tcW w:w="3685" w:type="dxa"/>
            <w:tcBorders>
              <w:left w:val="single" w:color="auto" w:sz="4" w:space="0"/>
              <w:right w:val="single" w:color="auto" w:sz="4" w:space="0"/>
            </w:tcBorders>
            <w:vAlign w:val="center"/>
          </w:tcPr>
          <w:p>
            <w:pPr>
              <w:widowControl/>
              <w:jc w:val="left"/>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本课程精选经典古诗文30篇左右，作品以经典名著为主，兼顾各类体裁，从作家的人生经历、作品的背景、作品的思想内容及艺术特色等诸多方面作深入细致地剖析，以点带面，使学生了解和掌握各历史阶段的文学的全貌，提高学生思考、欣赏和分析作品的能力，密切联系当今社会生活实际尤其是大学生生活实际，开展丰富多彩的校园活动，将课堂学习情况与课外学习效果结合起来对学生进行综合评价。</w:t>
            </w:r>
          </w:p>
        </w:tc>
        <w:tc>
          <w:tcPr>
            <w:tcW w:w="1843" w:type="dxa"/>
            <w:vAlign w:val="center"/>
          </w:tcPr>
          <w:p>
            <w:pPr>
              <w:widowControl/>
              <w:jc w:val="left"/>
              <w:rPr>
                <w:rFonts w:ascii="宋体" w:hAnsi="宋体" w:eastAsia="宋体" w:cs="Times New Roman"/>
                <w:color w:val="000000"/>
                <w:sz w:val="18"/>
                <w:szCs w:val="18"/>
              </w:rPr>
            </w:pPr>
            <w:r>
              <w:rPr>
                <w:rFonts w:ascii="Times New Roman" w:hAnsi="Times New Roman" w:eastAsia="宋体" w:cs="Times New Roman"/>
                <w:color w:val="000000"/>
                <w:sz w:val="18"/>
                <w:szCs w:val="18"/>
              </w:rPr>
              <w:t>采用小组讨论、角色体验等教学方式，利用翻转课堂模式，线上线下学习相结合。</w:t>
            </w:r>
          </w:p>
        </w:tc>
        <w:tc>
          <w:tcPr>
            <w:tcW w:w="580" w:type="dxa"/>
            <w:tcBorders>
              <w:left w:val="single" w:color="auto" w:sz="8" w:space="0"/>
            </w:tcBorders>
            <w:vAlign w:val="center"/>
          </w:tcPr>
          <w:p>
            <w:pPr>
              <w:widowControl/>
              <w:jc w:val="center"/>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32</w:t>
            </w:r>
          </w:p>
        </w:tc>
      </w:tr>
    </w:tbl>
    <w:p>
      <w:pPr>
        <w:spacing w:line="460" w:lineRule="exact"/>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2、专业课程</w:t>
      </w:r>
    </w:p>
    <w:tbl>
      <w:tblPr>
        <w:tblStyle w:val="23"/>
        <w:tblW w:w="1482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0"/>
        <w:gridCol w:w="1001"/>
        <w:gridCol w:w="6551"/>
        <w:gridCol w:w="2389"/>
        <w:gridCol w:w="1550"/>
        <w:gridCol w:w="1984"/>
        <w:gridCol w:w="64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20" w:hRule="atLeast"/>
          <w:tblHeader/>
          <w:jc w:val="center"/>
        </w:trPr>
        <w:tc>
          <w:tcPr>
            <w:tcW w:w="710" w:type="dxa"/>
            <w:vAlign w:val="center"/>
          </w:tcPr>
          <w:p>
            <w:pPr>
              <w:jc w:val="center"/>
              <w:rPr>
                <w:rFonts w:ascii="宋体" w:hAnsi="宋体" w:eastAsia="宋体" w:cs="Times New Roman"/>
                <w:b/>
                <w:color w:val="000000"/>
                <w:sz w:val="18"/>
                <w:szCs w:val="18"/>
              </w:rPr>
            </w:pPr>
            <w:r>
              <w:rPr>
                <w:rFonts w:ascii="宋体" w:hAnsi="宋体" w:eastAsia="宋体" w:cs="Times New Roman"/>
                <w:b/>
                <w:color w:val="000000"/>
                <w:sz w:val="18"/>
                <w:szCs w:val="18"/>
              </w:rPr>
              <w:t>序号</w:t>
            </w:r>
          </w:p>
        </w:tc>
        <w:tc>
          <w:tcPr>
            <w:tcW w:w="1001" w:type="dxa"/>
            <w:tcBorders>
              <w:left w:val="single" w:color="auto" w:sz="8" w:space="0"/>
              <w:right w:val="single" w:color="auto" w:sz="8" w:space="0"/>
            </w:tcBorders>
            <w:vAlign w:val="center"/>
          </w:tcPr>
          <w:p>
            <w:pPr>
              <w:jc w:val="center"/>
              <w:rPr>
                <w:rFonts w:ascii="宋体" w:hAnsi="宋体" w:eastAsia="宋体" w:cs="Times New Roman"/>
                <w:b/>
                <w:color w:val="000000"/>
                <w:sz w:val="18"/>
                <w:szCs w:val="18"/>
              </w:rPr>
            </w:pPr>
            <w:r>
              <w:rPr>
                <w:rFonts w:ascii="宋体" w:hAnsi="宋体" w:eastAsia="宋体" w:cs="Times New Roman"/>
                <w:b/>
                <w:color w:val="000000"/>
                <w:sz w:val="18"/>
                <w:szCs w:val="18"/>
              </w:rPr>
              <w:t>课程名称</w:t>
            </w:r>
          </w:p>
        </w:tc>
        <w:tc>
          <w:tcPr>
            <w:tcW w:w="6551" w:type="dxa"/>
            <w:tcBorders>
              <w:left w:val="single" w:color="auto" w:sz="8" w:space="0"/>
              <w:right w:val="single" w:color="auto" w:sz="4" w:space="0"/>
            </w:tcBorders>
            <w:vAlign w:val="center"/>
          </w:tcPr>
          <w:p>
            <w:pPr>
              <w:jc w:val="center"/>
              <w:rPr>
                <w:rFonts w:ascii="宋体" w:hAnsi="宋体" w:eastAsia="宋体" w:cs="Times New Roman"/>
                <w:b/>
                <w:bCs/>
                <w:color w:val="000000"/>
                <w:sz w:val="18"/>
                <w:szCs w:val="18"/>
              </w:rPr>
            </w:pPr>
            <w:r>
              <w:rPr>
                <w:rFonts w:ascii="宋体" w:hAnsi="宋体" w:eastAsia="宋体" w:cs="Times New Roman"/>
                <w:b/>
                <w:color w:val="000000"/>
                <w:kern w:val="0"/>
                <w:sz w:val="18"/>
                <w:szCs w:val="18"/>
              </w:rPr>
              <w:t>课程目标</w:t>
            </w:r>
          </w:p>
        </w:tc>
        <w:tc>
          <w:tcPr>
            <w:tcW w:w="2389" w:type="dxa"/>
            <w:tcBorders>
              <w:left w:val="single" w:color="auto" w:sz="4" w:space="0"/>
              <w:right w:val="single" w:color="auto" w:sz="4" w:space="0"/>
            </w:tcBorders>
            <w:vAlign w:val="center"/>
          </w:tcPr>
          <w:p>
            <w:pPr>
              <w:jc w:val="center"/>
              <w:rPr>
                <w:rFonts w:ascii="宋体" w:hAnsi="宋体" w:eastAsia="宋体" w:cs="Times New Roman"/>
                <w:b/>
                <w:bCs/>
                <w:color w:val="000000"/>
                <w:sz w:val="18"/>
                <w:szCs w:val="18"/>
              </w:rPr>
            </w:pPr>
            <w:r>
              <w:rPr>
                <w:rFonts w:ascii="宋体" w:hAnsi="宋体" w:eastAsia="宋体" w:cs="Times New Roman"/>
                <w:b/>
                <w:color w:val="000000"/>
                <w:sz w:val="18"/>
                <w:szCs w:val="18"/>
              </w:rPr>
              <w:t>主要</w:t>
            </w:r>
            <w:r>
              <w:rPr>
                <w:rFonts w:ascii="宋体" w:hAnsi="宋体" w:eastAsia="宋体" w:cs="Times New Roman"/>
                <w:b/>
                <w:color w:val="000000"/>
                <w:kern w:val="0"/>
                <w:sz w:val="18"/>
                <w:szCs w:val="18"/>
              </w:rPr>
              <w:t>教学内容</w:t>
            </w:r>
            <w:r>
              <w:rPr>
                <w:rFonts w:ascii="宋体" w:hAnsi="宋体" w:eastAsia="宋体" w:cs="Times New Roman"/>
                <w:b/>
                <w:color w:val="000000"/>
                <w:sz w:val="18"/>
                <w:szCs w:val="18"/>
              </w:rPr>
              <w:t>与要求</w:t>
            </w:r>
          </w:p>
        </w:tc>
        <w:tc>
          <w:tcPr>
            <w:tcW w:w="1550" w:type="dxa"/>
            <w:vAlign w:val="center"/>
          </w:tcPr>
          <w:p>
            <w:pPr>
              <w:jc w:val="center"/>
              <w:rPr>
                <w:rFonts w:ascii="宋体" w:hAnsi="宋体" w:eastAsia="宋体" w:cs="Times New Roman"/>
                <w:b/>
                <w:color w:val="000000"/>
                <w:sz w:val="18"/>
                <w:szCs w:val="18"/>
              </w:rPr>
            </w:pPr>
            <w:r>
              <w:rPr>
                <w:rFonts w:ascii="宋体" w:hAnsi="宋体" w:eastAsia="宋体" w:cs="Times New Roman"/>
                <w:b/>
                <w:color w:val="000000"/>
                <w:kern w:val="0"/>
                <w:sz w:val="18"/>
                <w:szCs w:val="18"/>
              </w:rPr>
              <w:t>课程思政、创新创业融合点</w:t>
            </w:r>
          </w:p>
        </w:tc>
        <w:tc>
          <w:tcPr>
            <w:tcW w:w="1984" w:type="dxa"/>
            <w:vAlign w:val="center"/>
          </w:tcPr>
          <w:p>
            <w:pPr>
              <w:jc w:val="center"/>
              <w:rPr>
                <w:rFonts w:ascii="宋体" w:hAnsi="宋体" w:eastAsia="宋体" w:cs="Times New Roman"/>
                <w:b/>
                <w:bCs/>
                <w:color w:val="000000"/>
                <w:sz w:val="18"/>
                <w:szCs w:val="18"/>
              </w:rPr>
            </w:pPr>
            <w:r>
              <w:rPr>
                <w:rFonts w:ascii="宋体" w:hAnsi="宋体" w:eastAsia="宋体" w:cs="Times New Roman"/>
                <w:b/>
                <w:color w:val="000000"/>
                <w:sz w:val="18"/>
                <w:szCs w:val="18"/>
              </w:rPr>
              <w:t>教学方法与手段</w:t>
            </w:r>
          </w:p>
        </w:tc>
        <w:tc>
          <w:tcPr>
            <w:tcW w:w="642" w:type="dxa"/>
            <w:tcBorders>
              <w:left w:val="single" w:color="auto" w:sz="8" w:space="0"/>
            </w:tcBorders>
            <w:vAlign w:val="center"/>
          </w:tcPr>
          <w:p>
            <w:pPr>
              <w:jc w:val="center"/>
              <w:rPr>
                <w:rFonts w:ascii="宋体" w:hAnsi="宋体" w:eastAsia="宋体" w:cs="Times New Roman"/>
                <w:b/>
                <w:bCs/>
                <w:color w:val="000000"/>
                <w:sz w:val="18"/>
                <w:szCs w:val="18"/>
              </w:rPr>
            </w:pPr>
            <w:r>
              <w:rPr>
                <w:rFonts w:ascii="宋体" w:hAnsi="宋体" w:eastAsia="宋体" w:cs="Times New Roman"/>
                <w:b/>
                <w:color w:val="000000"/>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332" w:hRule="atLeast"/>
          <w:jc w:val="center"/>
        </w:trPr>
        <w:tc>
          <w:tcPr>
            <w:tcW w:w="710" w:type="dxa"/>
            <w:vAlign w:val="center"/>
          </w:tcPr>
          <w:p>
            <w:pPr>
              <w:widowControl/>
              <w:jc w:val="center"/>
              <w:rPr>
                <w:rFonts w:ascii="宋体" w:hAnsi="宋体" w:eastAsia="宋体" w:cs="Times New Roman"/>
                <w:color w:val="000000"/>
                <w:sz w:val="18"/>
                <w:szCs w:val="18"/>
              </w:rPr>
            </w:pPr>
            <w:r>
              <w:rPr>
                <w:rFonts w:ascii="宋体" w:hAnsi="宋体" w:eastAsia="宋体" w:cs="Times New Roman"/>
                <w:color w:val="000000"/>
                <w:sz w:val="18"/>
                <w:szCs w:val="18"/>
              </w:rPr>
              <w:t>1</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Times New Roman"/>
                <w:color w:val="000000"/>
                <w:kern w:val="0"/>
                <w:sz w:val="18"/>
                <w:szCs w:val="18"/>
              </w:rPr>
            </w:pPr>
            <w:r>
              <w:rPr>
                <w:rFonts w:hint="eastAsia" w:ascii="宋体" w:hAnsi="宋体" w:eastAsia="宋体" w:cs="Times New Roman"/>
                <w:color w:val="000000"/>
                <w:sz w:val="18"/>
                <w:szCs w:val="18"/>
              </w:rPr>
              <w:t>无机化学</w:t>
            </w:r>
          </w:p>
        </w:tc>
        <w:tc>
          <w:tcPr>
            <w:tcW w:w="6551" w:type="dxa"/>
            <w:tcBorders>
              <w:left w:val="single" w:color="auto" w:sz="8" w:space="0"/>
              <w:right w:val="single" w:color="auto" w:sz="4" w:space="0"/>
            </w:tcBorders>
            <w:vAlign w:val="center"/>
          </w:tcPr>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(1)识记无机化学术语和一些基本概念；</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(2)能进行有关化学基本量的换算；</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(3)能识读元素周期表，了解主族元素位置、结构与性质之间的相互关系；</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(4)理解化学平衡、电离平衡基本规律和特点；</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 xml:space="preserve">(5)掌握氧化还原反应中的基本规律，能说出原电池和电解池的工作原理及其重要应用； </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(6)能说出常见元素（K、Na、Ca、Mg、Al、Fe、Zn、O、S、Cl、Br、N、P等）单质及其化合物的性质；</w:t>
            </w:r>
          </w:p>
        </w:tc>
        <w:tc>
          <w:tcPr>
            <w:tcW w:w="2389" w:type="dxa"/>
            <w:tcBorders>
              <w:left w:val="single" w:color="auto" w:sz="4" w:space="0"/>
              <w:right w:val="single" w:color="auto" w:sz="4" w:space="0"/>
            </w:tcBorders>
            <w:vAlign w:val="center"/>
          </w:tcPr>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(1)化学常用计量；</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(2)原子结构与元素周期律；</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(3)化学反应速率和化学平衡；</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(4)电解质溶液和弱电解质电离平衡；</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(5)电化学基础；</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(6)常见元素的单质和化合物</w:t>
            </w:r>
          </w:p>
        </w:tc>
        <w:tc>
          <w:tcPr>
            <w:tcW w:w="1550" w:type="dxa"/>
            <w:vAlign w:val="center"/>
          </w:tcPr>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引导学生正确认识化学与社会</w:t>
            </w:r>
            <w:r>
              <w:rPr>
                <w:rFonts w:hint="eastAsia" w:ascii="宋体" w:hAnsi="宋体" w:eastAsia="宋体" w:cs="Times New Roman"/>
                <w:color w:val="000000"/>
                <w:kern w:val="0"/>
                <w:sz w:val="18"/>
                <w:szCs w:val="18"/>
              </w:rPr>
              <w:t>关系</w:t>
            </w:r>
            <w:r>
              <w:rPr>
                <w:rFonts w:ascii="宋体" w:hAnsi="宋体" w:eastAsia="宋体" w:cs="Times New Roman"/>
                <w:color w:val="000000"/>
                <w:kern w:val="0"/>
                <w:sz w:val="18"/>
                <w:szCs w:val="18"/>
              </w:rPr>
              <w:t>，引导学生投身国家经济建设，融合富强、爱国、敬业等元素；</w:t>
            </w:r>
          </w:p>
        </w:tc>
        <w:tc>
          <w:tcPr>
            <w:tcW w:w="1984" w:type="dxa"/>
            <w:vAlign w:val="center"/>
          </w:tcPr>
          <w:p>
            <w:pPr>
              <w:widowControl/>
              <w:spacing w:line="0" w:lineRule="atLeas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开展课堂讨论式教学法；将基础化学的理论知识渗透到项目训练的过程中，引导学生理论指导实践，实现理实一体化教学；</w:t>
            </w:r>
          </w:p>
        </w:tc>
        <w:tc>
          <w:tcPr>
            <w:tcW w:w="642" w:type="dxa"/>
            <w:tcBorders>
              <w:left w:val="single" w:color="auto" w:sz="8" w:space="0"/>
            </w:tcBorders>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108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2</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有机化学</w:t>
            </w:r>
          </w:p>
        </w:tc>
        <w:tc>
          <w:tcPr>
            <w:tcW w:w="6551" w:type="dxa"/>
            <w:tcBorders>
              <w:left w:val="single" w:color="auto" w:sz="8" w:space="0"/>
              <w:right w:val="single" w:color="auto" w:sz="4" w:space="0"/>
            </w:tcBorders>
            <w:vAlign w:val="center"/>
          </w:tcPr>
          <w:p>
            <w:pPr>
              <w:widowControl/>
              <w:spacing w:line="0" w:lineRule="atLeas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有机化学以学生学习和掌握元素及其化合物的组成、结构、性质和用途为主线，运用化学基本原理知识，阐述元素化学与社会、科学、生产的联系，提高学生科学素养为总目标。通过本课程的教学，使学生掌握物质结构的基础理论、化学反应的基本原理、元素化学的基本知识，培养学生具有分析和解决一般有机化学问题的能力，为后续课程提供必要的理论基础。 </w:t>
            </w:r>
          </w:p>
        </w:tc>
        <w:tc>
          <w:tcPr>
            <w:tcW w:w="2389" w:type="dxa"/>
            <w:tcBorders>
              <w:left w:val="single" w:color="auto" w:sz="4" w:space="0"/>
              <w:right w:val="single" w:color="auto" w:sz="4" w:space="0"/>
            </w:tcBorders>
            <w:vAlign w:val="center"/>
          </w:tcPr>
          <w:p>
            <w:pPr>
              <w:widowControl/>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1</w:t>
            </w:r>
            <w:r>
              <w:rPr>
                <w:rFonts w:hint="eastAsia" w:ascii="宋体" w:hAnsi="宋体" w:eastAsia="宋体" w:cs="Times New Roman"/>
                <w:color w:val="000000"/>
                <w:kern w:val="0"/>
                <w:sz w:val="18"/>
                <w:szCs w:val="18"/>
              </w:rPr>
              <w:t>）掌握一般有机化合物的命名、各类化合物的制备及主要的物理性质和化学性质，熟悉主要有机试剂及具体应用。</w:t>
            </w:r>
            <w:r>
              <w:rPr>
                <w:rFonts w:ascii="宋体" w:hAnsi="宋体" w:eastAsia="宋体" w:cs="Times New Roman"/>
                <w:color w:val="000000"/>
                <w:kern w:val="0"/>
                <w:sz w:val="18"/>
                <w:szCs w:val="18"/>
              </w:rPr>
              <w:t> </w:t>
            </w:r>
          </w:p>
          <w:p>
            <w:pPr>
              <w:widowControl/>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2</w:t>
            </w:r>
            <w:r>
              <w:rPr>
                <w:rFonts w:hint="eastAsia" w:ascii="宋体" w:hAnsi="宋体" w:eastAsia="宋体" w:cs="Times New Roman"/>
                <w:color w:val="000000"/>
                <w:kern w:val="0"/>
                <w:sz w:val="18"/>
                <w:szCs w:val="18"/>
              </w:rPr>
              <w:t>）熟悉各类有机化合物的定性鉴定、分离方法和了解某些定量测定方法；初步学会解析图谱，能根据图谱数据推出一般有机化合物的结构。</w:t>
            </w:r>
            <w:r>
              <w:rPr>
                <w:rFonts w:ascii="宋体" w:hAnsi="宋体" w:eastAsia="宋体" w:cs="Times New Roman"/>
                <w:color w:val="000000"/>
                <w:kern w:val="0"/>
                <w:sz w:val="18"/>
                <w:szCs w:val="18"/>
              </w:rPr>
              <w:t> </w:t>
            </w:r>
          </w:p>
          <w:p>
            <w:pPr>
              <w:widowControl/>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3）掌握一般有机化合物分子结构和性能的关系；掌握有机活泼中间体正碳离子，负碳离子，自由基的生成和反应；能用结构理论、热力学、动力学来解释一般有机化合物的稳定性和反应；基本掌握自由基取代、亲电加成、亲核加成、消除和芳香族亲电取代、亲核取代等反应机理。</w:t>
            </w:r>
            <w:r>
              <w:rPr>
                <w:rFonts w:ascii="宋体" w:hAnsi="宋体" w:eastAsia="宋体" w:cs="Times New Roman"/>
                <w:color w:val="000000"/>
                <w:kern w:val="0"/>
                <w:sz w:val="18"/>
                <w:szCs w:val="18"/>
              </w:rPr>
              <w:t>  </w:t>
            </w:r>
          </w:p>
          <w:p>
            <w:pPr>
              <w:widowControl/>
              <w:rPr>
                <w:rFonts w:ascii="宋体" w:hAnsi="宋体" w:eastAsia="宋体" w:cs="Times New Roman"/>
                <w:color w:val="000000"/>
                <w:kern w:val="0"/>
                <w:sz w:val="18"/>
                <w:szCs w:val="18"/>
              </w:rPr>
            </w:pPr>
            <w:r>
              <w:rPr>
                <w:rFonts w:ascii="宋体" w:hAnsi="宋体" w:eastAsia="宋体" w:cs="Times New Roman"/>
                <w:color w:val="000000"/>
                <w:kern w:val="0"/>
                <w:sz w:val="18"/>
                <w:szCs w:val="18"/>
              </w:rPr>
              <w:t>(4)</w:t>
            </w:r>
            <w:r>
              <w:rPr>
                <w:rFonts w:hint="eastAsia" w:ascii="宋体" w:hAnsi="宋体" w:eastAsia="宋体" w:cs="Times New Roman"/>
                <w:color w:val="000000"/>
                <w:kern w:val="0"/>
                <w:sz w:val="18"/>
                <w:szCs w:val="18"/>
              </w:rPr>
              <w:t>在熟悉各类有机化合物性质及制备的基础上，能将这些知识灵活应用于有机合成。</w:t>
            </w:r>
          </w:p>
        </w:tc>
        <w:tc>
          <w:tcPr>
            <w:tcW w:w="1550" w:type="dxa"/>
            <w:vAlign w:val="center"/>
          </w:tcPr>
          <w:p>
            <w:pPr>
              <w:widowControl/>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通过本课程的学习，使学生系统地学习有机化学学科发展的前沿动态和重要有机化学知识；掌握有机化学基础知识；关注相关的应用信息；对有机化学在国民经济、社会生活中的重要地位和作用有较好认识。</w:t>
            </w:r>
          </w:p>
        </w:tc>
        <w:tc>
          <w:tcPr>
            <w:tcW w:w="1984" w:type="dxa"/>
            <w:vAlign w:val="center"/>
          </w:tcPr>
          <w:p>
            <w:pPr>
              <w:widowControl/>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课堂讲授、难题讨论、多媒体演示和实验答</w:t>
            </w:r>
          </w:p>
          <w:p>
            <w:pPr>
              <w:widowControl/>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疑</w:t>
            </w:r>
          </w:p>
        </w:tc>
        <w:tc>
          <w:tcPr>
            <w:tcW w:w="642" w:type="dxa"/>
            <w:tcBorders>
              <w:lef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108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3</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default"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基础化学</w:t>
            </w:r>
            <w:r>
              <w:rPr>
                <w:rFonts w:hint="eastAsia" w:ascii="宋体" w:hAnsi="宋体" w:eastAsia="宋体" w:cs="Times New Roman"/>
                <w:color w:val="000000"/>
                <w:kern w:val="0"/>
                <w:sz w:val="18"/>
                <w:szCs w:val="18"/>
                <w:lang w:val="en-US" w:eastAsia="zh-CN"/>
              </w:rPr>
              <w:t>II</w:t>
            </w:r>
          </w:p>
        </w:tc>
        <w:tc>
          <w:tcPr>
            <w:tcW w:w="6551" w:type="dxa"/>
            <w:tcBorders>
              <w:left w:val="single" w:color="auto" w:sz="8"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能力目标：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通过课堂教学和自学，学生不仅掌握本课程的基本概念、基本理论和基本方法，而且逐步掌握科学的学习方法，提高自主学习的能力，具有比较熟练的运用化学语言表达物质世界的能力。</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知识目标：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（1）掌握溶液浓度的表示方法，熟悉溶液的依数性并了解其生理意义；</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（2）熟悉质量作用定律、化学平衡定律；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（3）掌握缓冲溶液的缓冲作用原理及pH值的有关计算，了解缓冲溶液的应用；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（4）掌握溶度积概念和溶度积规则，熟悉沉淀的生成和溶解的基本知识和计算；</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（5）熟悉氧化还原平衡、能斯特方程相关计算；熟悉氧化还原的有关概念；</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（6）掌握配合物的概念、组成、命名和配合物中的价键理论；了解一些重要元素及其化合物的组成、性质及离子鉴定等有关知识。</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（7）掌握脂肪烃的命名及化学性质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（8）掌握环烃和单环芳烃的命名和化学性质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（9）掌握含卤和含氧有机化合物的命名和化学性质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素质目标：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（1）具有良好的思想道德素质和职业素养，初步形成了符合专业特点的职业道德意识和行为习惯；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（2）具有严谨的工作作风，对技术精益求精，对事业极端负责； </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（3）具有良好的身心素质和专业技能，能适应社会发展的要求。</w:t>
            </w:r>
          </w:p>
        </w:tc>
        <w:tc>
          <w:tcPr>
            <w:tcW w:w="2389" w:type="dxa"/>
            <w:tcBorders>
              <w:left w:val="single" w:color="auto" w:sz="4"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项目1气体与溶液；</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项目2化学平衡；</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项目3脂肪烃；</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项目4环烃和杂环化合物；</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项目5含卤和含氧有机化合物。</w:t>
            </w:r>
          </w:p>
        </w:tc>
        <w:tc>
          <w:tcPr>
            <w:tcW w:w="1550"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引导学生正确认识化学化工对国家、社会的重要意义，引导学生投身化工产业发展，融合富强、爱国、敬业等元素；</w:t>
            </w:r>
          </w:p>
        </w:tc>
        <w:tc>
          <w:tcPr>
            <w:tcW w:w="1984"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授课方式采用工作页的方式进行，突出学生主导地位的方式进行。</w:t>
            </w:r>
          </w:p>
        </w:tc>
        <w:tc>
          <w:tcPr>
            <w:tcW w:w="642" w:type="dxa"/>
            <w:tcBorders>
              <w:left w:val="single" w:color="auto" w:sz="8" w:space="0"/>
            </w:tcBorders>
            <w:vAlign w:val="center"/>
          </w:tcPr>
          <w:p>
            <w:pPr>
              <w:widowControl/>
              <w:rPr>
                <w:rFonts w:hint="default"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lang w:val="en-US" w:eastAsia="zh-CN"/>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4</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default"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基础化学实验技术</w:t>
            </w:r>
            <w:r>
              <w:rPr>
                <w:rFonts w:hint="eastAsia" w:ascii="宋体" w:hAnsi="宋体" w:eastAsia="宋体" w:cs="Times New Roman"/>
                <w:color w:val="000000"/>
                <w:kern w:val="0"/>
                <w:sz w:val="18"/>
                <w:szCs w:val="18"/>
                <w:lang w:val="en-US" w:eastAsia="zh-CN"/>
              </w:rPr>
              <w:t>II</w:t>
            </w:r>
          </w:p>
        </w:tc>
        <w:tc>
          <w:tcPr>
            <w:tcW w:w="6551" w:type="dxa"/>
            <w:tcBorders>
              <w:left w:val="single" w:color="auto" w:sz="8"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能力目标：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（1）掌握常用玻璃仪器的洗涤、干燥和使用，包括称量瓶、烧杯、量 筒、漏斗、试管、滴管、容量瓶、移液管、吸量管、滴定管等；</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（2）正确使用电子天平、托盘天平等进行试样的称量；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（3）掌握基本的化学实验操作，包括固体试样和液体试样的取用、物质的加热、物质的溶解、过滤、蒸发、结晶、蒸馏等。</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（4）正确设计实验（选择实验方法、实验条件、仪器和试剂等）解决实际问题的能力；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（5）通过查阅手册、工具书及其他信息源获得信息、提高自我学习的能力；</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（6）认真观察实验现象进而分析判断、逻辑推理，做出结论的能力；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（7）正确记录、处理数据和表达实验结果的能力。</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知识目标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（1）掌握的基本原理：酸碱滴定法基本原理、氧化还原滴定法基本原理、沉淀滴定法基本原理、旋光仪的基本原理。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（2）掌握的基本方法：溶液的配制方法、加快溶质溶解的常识、标准溶液获得的方法、滴定法、实验结果的处理和评价方法，有机化合物的鉴别方法。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（3）掌握化学实验安全的基本常识。</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素质目标：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（1）具有良好的思想道德素质和职业素养，初步形成了符合专业特点的职业道德意识和行为习惯；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（2）具有严谨的工作作风，对技术精益求精，对事业极端负责； </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（3）具有良好的身心素质和专业技能，能适应社会发展的要求。</w:t>
            </w:r>
          </w:p>
        </w:tc>
        <w:tc>
          <w:tcPr>
            <w:tcW w:w="2389" w:type="dxa"/>
            <w:tcBorders>
              <w:left w:val="single" w:color="auto" w:sz="4"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项目1基础化学实验基础知识；</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项目2常见玻璃仪器的洗涤；</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项目3溶液的配制；</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项目4天平的称量练习；</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项目5滴定管基本操作；</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项目6氢氧化钠溶液的标定；</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项目7盐酸标准溶液的标定；</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项目8固液分离；</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项目9蒸发与结晶；</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项目10蒸馏；</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项目11熔点的测定；</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项目12溴乙烷的制备；</w:t>
            </w:r>
          </w:p>
        </w:tc>
        <w:tc>
          <w:tcPr>
            <w:tcW w:w="1550" w:type="dxa"/>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培养学生的团队合作精神：课堂讨论分组，让学生自由组合，分工合作完成老师布置的任务；做实验时，每个人都分配不同的任务，从而让他们知道团队合作的重要性。</w:t>
            </w:r>
          </w:p>
          <w:p>
            <w:pPr>
              <w:widowControl/>
              <w:rPr>
                <w:rFonts w:hint="eastAsia" w:ascii="宋体" w:hAnsi="宋体" w:eastAsia="宋体" w:cs="Times New Roman"/>
                <w:color w:val="000000"/>
                <w:kern w:val="0"/>
                <w:sz w:val="18"/>
                <w:szCs w:val="18"/>
                <w:lang w:val="en-US" w:eastAsia="zh-CN"/>
              </w:rPr>
            </w:pPr>
          </w:p>
        </w:tc>
        <w:tc>
          <w:tcPr>
            <w:tcW w:w="1984"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教学内容采用案例教学，实际项目任务分解的方式行进，扩散思维、创造性思维</w:t>
            </w:r>
          </w:p>
        </w:tc>
        <w:tc>
          <w:tcPr>
            <w:tcW w:w="642" w:type="dxa"/>
            <w:tcBorders>
              <w:left w:val="single" w:color="auto" w:sz="8" w:space="0"/>
            </w:tcBorders>
            <w:vAlign w:val="center"/>
          </w:tcPr>
          <w:p>
            <w:pPr>
              <w:widowControl/>
              <w:rPr>
                <w:rFonts w:hint="default"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lang w:val="en-US" w:eastAsia="zh-CN"/>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5</w:t>
            </w:r>
          </w:p>
        </w:tc>
        <w:tc>
          <w:tcPr>
            <w:tcW w:w="100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食品化学</w:t>
            </w:r>
          </w:p>
        </w:tc>
        <w:tc>
          <w:tcPr>
            <w:tcW w:w="6551" w:type="dxa"/>
            <w:tcBorders>
              <w:left w:val="single" w:color="auto" w:sz="8"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能力目标：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通过课堂教学和自学，学生不仅掌握本课程的基本概念、基本理论和基本方法，而且逐步掌握科学的学习方法，提高自主学习的能力，具有比较熟练的运用化学语言表达物质世界的能力。</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知识目标：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（1）了解食物与食品的概念、化学组成；</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（2）掌握水和冰的结构及其在食品中的性质、水分活度与食品稳定性的关系，理解等温吸湿曲线的意义；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（3）掌握食品中重要矿物质的营养功能，掌握矿物质成分的生物有效性的概念；</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（4）理解糖类的功能和主要性质，掌握糖类在食品工业上的应用；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（5）掌握各类脂肪酸的性能、油脂的物理、化学性质，了解食用油脂在食品加工中的作用、食品热加工过程中油脂的变化、食用油脂质量评价的几个特征值等；</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（6）掌握氨基酸的物理、化学性质，了解其在食品加工中的应用，掌握蛋白质的理化、功能性质及其对食品加工过程中食品品质的影响；</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（7）学习酶的分类和命名方法后，能理解某种酶的具体名称的含义，掌握各种食品中酶的重要作用；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（8）掌握维生素的的生理功能、一般理化性质及食物来源；</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（9）掌握色素的性质及在实践中的应用，掌握甜味物质、酸味物质及苦味物质的应用，理解食物中主要香气成分，了解香气成分的产生过程；</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（10）了解食品中的嫌忌成分的种类、来源、性状特点，消除方法等，理解食品中的嫌忌成分产生危害的机理、特点等，掌握在食品加工、储存过程中如何尽量降低或消除食品中的嫌忌成分带来的危害。</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素质目标：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（1）具有良好的思想道德素质和职业素养，初步形成了符合专业特点的职业道德意识和行为习惯；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（2）具有严谨的工作作风，对技术精益求精，对事业极端负责；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（3）具有良好的身心素质和专业技能，能适应社会发展的要求。</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证书目标：</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通过课程学习，使学生具备高素质的食品药品监督管理专业人才所必需的从事监督管理工作所必备的技能，为学生今后其他课程的学习打下坚实基础。</w:t>
            </w:r>
          </w:p>
        </w:tc>
        <w:tc>
          <w:tcPr>
            <w:tcW w:w="2389" w:type="dxa"/>
            <w:tcBorders>
              <w:left w:val="single" w:color="auto" w:sz="4"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项目1绪论</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项目2食品中的水分</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项目3食品中的矿物质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项目4食品中的糖类</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项目5食品中的脂类</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项目6食品中蛋白质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项目7食品和酶</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项目8维生素</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项目9食品的色、香、味</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项目10食品中的嫌忌成分</w:t>
            </w:r>
          </w:p>
        </w:tc>
        <w:tc>
          <w:tcPr>
            <w:tcW w:w="1550" w:type="dxa"/>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学生在学习过程中，尊重科学、实事求是，诚实守信。</w:t>
            </w:r>
          </w:p>
          <w:p>
            <w:pPr>
              <w:widowControl/>
              <w:rPr>
                <w:rFonts w:hint="eastAsia" w:ascii="宋体" w:hAnsi="宋体" w:eastAsia="宋体" w:cs="Times New Roman"/>
                <w:color w:val="000000"/>
                <w:kern w:val="0"/>
                <w:sz w:val="18"/>
                <w:szCs w:val="18"/>
                <w:lang w:val="en-US" w:eastAsia="zh-CN"/>
              </w:rPr>
            </w:pPr>
          </w:p>
        </w:tc>
        <w:tc>
          <w:tcPr>
            <w:tcW w:w="1984"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理论与实践的结合，适当安排指导性自习，加强课前、课后的答疑辅导，注意学生能力的培养，使学生通过对食品化学相关知识的理解，树立整体观念</w:t>
            </w:r>
          </w:p>
        </w:tc>
        <w:tc>
          <w:tcPr>
            <w:tcW w:w="642" w:type="dxa"/>
            <w:tcBorders>
              <w:left w:val="single" w:color="auto" w:sz="8" w:space="0"/>
            </w:tcBorders>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6</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食品基础知识</w:t>
            </w:r>
          </w:p>
        </w:tc>
        <w:tc>
          <w:tcPr>
            <w:tcW w:w="6551" w:type="dxa"/>
            <w:tcBorders>
              <w:left w:val="single" w:color="auto" w:sz="8"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能力目标：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1</w:t>
            </w:r>
            <w:r>
              <w:rPr>
                <w:rFonts w:hint="eastAsia" w:ascii="宋体" w:hAnsi="宋体" w:eastAsia="宋体" w:cs="Times New Roman"/>
                <w:color w:val="000000"/>
                <w:kern w:val="0"/>
                <w:sz w:val="18"/>
                <w:szCs w:val="18"/>
              </w:rPr>
              <w:t>）能对食品按照不同的分类方法进行分类；能按GB/T 7635.1-2002标准对食品进行分类编码。</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2</w:t>
            </w:r>
            <w:r>
              <w:rPr>
                <w:rFonts w:hint="eastAsia" w:ascii="宋体" w:hAnsi="宋体" w:eastAsia="宋体" w:cs="Times New Roman"/>
                <w:color w:val="000000"/>
                <w:kern w:val="0"/>
                <w:sz w:val="18"/>
                <w:szCs w:val="18"/>
              </w:rPr>
              <w:t>）能运用食品质量安全知识进行食品质量管理。</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3</w:t>
            </w:r>
            <w:r>
              <w:rPr>
                <w:rFonts w:hint="eastAsia" w:ascii="宋体" w:hAnsi="宋体" w:eastAsia="宋体" w:cs="Times New Roman"/>
                <w:color w:val="000000"/>
                <w:kern w:val="0"/>
                <w:sz w:val="18"/>
                <w:szCs w:val="18"/>
              </w:rPr>
              <w:t>）具备辨别国家标准、行业标准、地方标准和企业标准的能力；具备辨别无公害食品、绿色食品与有机食品的能力。</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4</w:t>
            </w:r>
            <w:r>
              <w:rPr>
                <w:rFonts w:hint="eastAsia" w:ascii="宋体" w:hAnsi="宋体" w:eastAsia="宋体" w:cs="Times New Roman"/>
                <w:color w:val="000000"/>
                <w:kern w:val="0"/>
                <w:sz w:val="18"/>
                <w:szCs w:val="18"/>
              </w:rPr>
              <w:t>）能依照相关分级标准对常见的食品进行分级；能根据标准对食品进行检验检疫。</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5</w:t>
            </w:r>
            <w:r>
              <w:rPr>
                <w:rFonts w:hint="eastAsia" w:ascii="宋体" w:hAnsi="宋体" w:eastAsia="宋体" w:cs="Times New Roman"/>
                <w:color w:val="000000"/>
                <w:kern w:val="0"/>
                <w:sz w:val="18"/>
                <w:szCs w:val="18"/>
              </w:rPr>
              <w:t>）能针对果蔬、肉、蛋、乳、水产品的贮藏特点选用合理的贮藏保鲜方法。</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6</w:t>
            </w:r>
            <w:r>
              <w:rPr>
                <w:rFonts w:hint="eastAsia" w:ascii="宋体" w:hAnsi="宋体" w:eastAsia="宋体" w:cs="Times New Roman"/>
                <w:color w:val="000000"/>
                <w:kern w:val="0"/>
                <w:sz w:val="18"/>
                <w:szCs w:val="18"/>
              </w:rPr>
              <w:t>）能识别食品标签中各项内容的正误、鉴别假冒伪劣食品；能根据要求选择适宜的食品包装材料。</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知识目标：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1</w:t>
            </w:r>
            <w:r>
              <w:rPr>
                <w:rFonts w:hint="eastAsia" w:ascii="宋体" w:hAnsi="宋体" w:eastAsia="宋体" w:cs="Times New Roman"/>
                <w:color w:val="000000"/>
                <w:kern w:val="0"/>
                <w:sz w:val="18"/>
                <w:szCs w:val="18"/>
              </w:rPr>
              <w:t>）掌握食品分类的原则和方法，熟悉食品商品编码结构与方法。</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2</w:t>
            </w:r>
            <w:r>
              <w:rPr>
                <w:rFonts w:hint="eastAsia" w:ascii="宋体" w:hAnsi="宋体" w:eastAsia="宋体" w:cs="Times New Roman"/>
                <w:color w:val="000000"/>
                <w:kern w:val="0"/>
                <w:sz w:val="18"/>
                <w:szCs w:val="18"/>
              </w:rPr>
              <w:t>）掌握SC及食品安全控制有关基本理论知识；掌握食品商品质量认证的概念、分类，重点理解ISO 9000、ISO 14000、ISO22000等国际标准体系的构成要素及作用。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3</w:t>
            </w:r>
            <w:r>
              <w:rPr>
                <w:rFonts w:hint="eastAsia" w:ascii="宋体" w:hAnsi="宋体" w:eastAsia="宋体" w:cs="Times New Roman"/>
                <w:color w:val="000000"/>
                <w:kern w:val="0"/>
                <w:sz w:val="18"/>
                <w:szCs w:val="18"/>
              </w:rPr>
              <w:t>）掌握各类食品商品的检验内容和方法。</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4</w:t>
            </w:r>
            <w:r>
              <w:rPr>
                <w:rFonts w:hint="eastAsia" w:ascii="宋体" w:hAnsi="宋体" w:eastAsia="宋体" w:cs="Times New Roman"/>
                <w:color w:val="000000"/>
                <w:kern w:val="0"/>
                <w:sz w:val="18"/>
                <w:szCs w:val="18"/>
              </w:rPr>
              <w:t>）掌握食品原料的贮藏保鲜方法；掌握食品成品的贮藏方法。</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hint="eastAsia" w:ascii="宋体" w:hAnsi="宋体" w:eastAsia="宋体" w:cs="Times New Roman"/>
                <w:color w:val="000000"/>
                <w:kern w:val="0"/>
                <w:sz w:val="18"/>
                <w:szCs w:val="18"/>
                <w:lang w:val="en-US" w:eastAsia="zh-CN"/>
              </w:rPr>
              <w:t>5</w:t>
            </w:r>
            <w:r>
              <w:rPr>
                <w:rFonts w:hint="eastAsia" w:ascii="宋体" w:hAnsi="宋体" w:eastAsia="宋体" w:cs="Times New Roman"/>
                <w:color w:val="000000"/>
                <w:kern w:val="0"/>
                <w:sz w:val="18"/>
                <w:szCs w:val="18"/>
              </w:rPr>
              <w:t>）掌握食品标签的内涵；掌握食品商标注册要求与管理规定。</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素质目标：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（1）具有较强的口头与书面表达能力、人际沟通能力。</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（2）具有良好的团队协作精神，具有“严谨细致、诚实守信”的品德。</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（3）具备食品药品从业人员的职业道德，在食品药品供应与质量管理方面发挥作用，不生产、不销售、不使用不合格食品药品。</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（4）具备使用流通管理计算机软件能力，能够利用库房管理软件、物流管理软件完成药品验收、养护、销售、出库、售后管理等工作。</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（5）具备社会调研、资料查阅能力，策划及文案制作等文字能力，能够搜集和整理资料，熟练制作课件，完成食品药品健康宣讲。</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（6）具备继续学习、终身学习的可持续发展能力，能够不断学习食品药品前沿信息以及新设备、新技术的应用。</w:t>
            </w:r>
          </w:p>
        </w:tc>
        <w:tc>
          <w:tcPr>
            <w:tcW w:w="2389" w:type="dxa"/>
            <w:tcBorders>
              <w:left w:val="single" w:color="auto" w:sz="4"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w:t>
            </w:r>
            <w:r>
              <w:rPr>
                <w:rFonts w:hint="eastAsia" w:ascii="宋体" w:hAnsi="宋体" w:eastAsia="宋体" w:cs="Times New Roman"/>
                <w:color w:val="000000"/>
                <w:kern w:val="0"/>
                <w:sz w:val="18"/>
                <w:szCs w:val="18"/>
                <w:lang w:val="en-US" w:eastAsia="zh-CN"/>
              </w:rPr>
              <w:t xml:space="preserve">1 </w:t>
            </w:r>
            <w:r>
              <w:rPr>
                <w:rFonts w:hint="eastAsia" w:ascii="宋体" w:hAnsi="宋体" w:eastAsia="宋体" w:cs="Times New Roman"/>
                <w:color w:val="000000"/>
                <w:kern w:val="0"/>
                <w:sz w:val="18"/>
                <w:szCs w:val="18"/>
              </w:rPr>
              <w:t>食品商品的分类与性质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w:t>
            </w:r>
            <w:r>
              <w:rPr>
                <w:rFonts w:hint="eastAsia" w:ascii="宋体" w:hAnsi="宋体" w:eastAsia="宋体" w:cs="Times New Roman"/>
                <w:color w:val="000000"/>
                <w:kern w:val="0"/>
                <w:sz w:val="18"/>
                <w:szCs w:val="18"/>
                <w:lang w:val="en-US" w:eastAsia="zh-CN"/>
              </w:rPr>
              <w:t xml:space="preserve">2 </w:t>
            </w:r>
            <w:r>
              <w:rPr>
                <w:rFonts w:hint="eastAsia" w:ascii="宋体" w:hAnsi="宋体" w:eastAsia="宋体" w:cs="Times New Roman"/>
                <w:color w:val="000000"/>
                <w:kern w:val="0"/>
                <w:sz w:val="18"/>
                <w:szCs w:val="18"/>
              </w:rPr>
              <w:t>食品商品的属性</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w:t>
            </w:r>
            <w:r>
              <w:rPr>
                <w:rFonts w:hint="eastAsia" w:ascii="宋体" w:hAnsi="宋体" w:eastAsia="宋体" w:cs="Times New Roman"/>
                <w:color w:val="000000"/>
                <w:kern w:val="0"/>
                <w:sz w:val="18"/>
                <w:szCs w:val="18"/>
                <w:lang w:val="en-US" w:eastAsia="zh-CN"/>
              </w:rPr>
              <w:t xml:space="preserve">3 </w:t>
            </w:r>
            <w:r>
              <w:rPr>
                <w:rFonts w:hint="eastAsia" w:ascii="宋体" w:hAnsi="宋体" w:eastAsia="宋体" w:cs="Times New Roman"/>
                <w:color w:val="000000"/>
                <w:kern w:val="0"/>
                <w:sz w:val="18"/>
                <w:szCs w:val="18"/>
              </w:rPr>
              <w:t>食品商品的质量安全管理</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w:t>
            </w:r>
            <w:r>
              <w:rPr>
                <w:rFonts w:hint="eastAsia" w:ascii="宋体" w:hAnsi="宋体" w:eastAsia="宋体" w:cs="Times New Roman"/>
                <w:color w:val="000000"/>
                <w:kern w:val="0"/>
                <w:sz w:val="18"/>
                <w:szCs w:val="18"/>
                <w:lang w:val="en-US" w:eastAsia="zh-CN"/>
              </w:rPr>
              <w:t xml:space="preserve">4 </w:t>
            </w:r>
            <w:r>
              <w:rPr>
                <w:rFonts w:hint="eastAsia" w:ascii="宋体" w:hAnsi="宋体" w:eastAsia="宋体" w:cs="Times New Roman"/>
                <w:color w:val="000000"/>
                <w:kern w:val="0"/>
                <w:sz w:val="18"/>
                <w:szCs w:val="18"/>
              </w:rPr>
              <w:t>食品商品的标准与质量认证</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w:t>
            </w:r>
            <w:r>
              <w:rPr>
                <w:rFonts w:hint="eastAsia" w:ascii="宋体" w:hAnsi="宋体" w:eastAsia="宋体" w:cs="Times New Roman"/>
                <w:color w:val="000000"/>
                <w:kern w:val="0"/>
                <w:sz w:val="18"/>
                <w:szCs w:val="18"/>
                <w:lang w:val="en-US" w:eastAsia="zh-CN"/>
              </w:rPr>
              <w:t xml:space="preserve">5 </w:t>
            </w:r>
            <w:r>
              <w:rPr>
                <w:rFonts w:hint="eastAsia" w:ascii="宋体" w:hAnsi="宋体" w:eastAsia="宋体" w:cs="Times New Roman"/>
                <w:color w:val="000000"/>
                <w:kern w:val="0"/>
                <w:sz w:val="18"/>
                <w:szCs w:val="18"/>
              </w:rPr>
              <w:t>食品商品的检验与检疫</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w:t>
            </w:r>
            <w:r>
              <w:rPr>
                <w:rFonts w:hint="eastAsia" w:ascii="宋体" w:hAnsi="宋体" w:eastAsia="宋体" w:cs="Times New Roman"/>
                <w:color w:val="000000"/>
                <w:kern w:val="0"/>
                <w:sz w:val="18"/>
                <w:szCs w:val="18"/>
                <w:lang w:val="en-US" w:eastAsia="zh-CN"/>
              </w:rPr>
              <w:t xml:space="preserve">6 </w:t>
            </w:r>
            <w:r>
              <w:rPr>
                <w:rFonts w:hint="eastAsia" w:ascii="宋体" w:hAnsi="宋体" w:eastAsia="宋体" w:cs="Times New Roman"/>
                <w:color w:val="000000"/>
                <w:kern w:val="0"/>
                <w:sz w:val="18"/>
                <w:szCs w:val="18"/>
              </w:rPr>
              <w:t>食品商品的保鲜与贮运</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项目</w:t>
            </w:r>
            <w:r>
              <w:rPr>
                <w:rFonts w:hint="eastAsia" w:ascii="宋体" w:hAnsi="宋体" w:eastAsia="宋体" w:cs="Times New Roman"/>
                <w:color w:val="000000"/>
                <w:kern w:val="0"/>
                <w:sz w:val="18"/>
                <w:szCs w:val="18"/>
                <w:lang w:val="en-US" w:eastAsia="zh-CN"/>
              </w:rPr>
              <w:t xml:space="preserve">7 </w:t>
            </w:r>
            <w:r>
              <w:rPr>
                <w:rFonts w:hint="eastAsia" w:ascii="宋体" w:hAnsi="宋体" w:eastAsia="宋体" w:cs="Times New Roman"/>
                <w:color w:val="000000"/>
                <w:kern w:val="0"/>
                <w:sz w:val="18"/>
                <w:szCs w:val="18"/>
              </w:rPr>
              <w:t>食品商品的包装与商标管理</w:t>
            </w:r>
          </w:p>
        </w:tc>
        <w:tc>
          <w:tcPr>
            <w:tcW w:w="1550"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引导学生食品的基础知识，让学生具有食品的一些基本理念。</w:t>
            </w:r>
          </w:p>
        </w:tc>
        <w:tc>
          <w:tcPr>
            <w:tcW w:w="1984"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教学内容采用讲授法、案例教学法、探究性教学法分层次展开教学</w:t>
            </w:r>
          </w:p>
        </w:tc>
        <w:tc>
          <w:tcPr>
            <w:tcW w:w="642" w:type="dxa"/>
            <w:tcBorders>
              <w:left w:val="single" w:color="auto" w:sz="8" w:space="0"/>
            </w:tcBorders>
            <w:vAlign w:val="center"/>
          </w:tcPr>
          <w:p>
            <w:pPr>
              <w:widowControl/>
              <w:rPr>
                <w:rFonts w:hint="default"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lang w:val="en-US" w:eastAsia="zh-CN"/>
              </w:rPr>
              <w:t>72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7</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食品理化检测技术</w:t>
            </w:r>
          </w:p>
        </w:tc>
        <w:tc>
          <w:tcPr>
            <w:tcW w:w="6551" w:type="dxa"/>
            <w:tcBorders>
              <w:left w:val="single" w:color="auto" w:sz="8"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技能目标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①掌握食品样品的采集、制备和预处理的方法，从而使学生在未来的工作实践中能够把握样品预处理技术的发展和应用趋势，更好地服务其食品检测与分析工作。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②掌握样品前处理方法设计与处理。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③掌握食品理化分析常用仪器设备调试与应用。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④掌握食品中各种营养组分测定的基本原理、方法和操作技能。</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⑤掌握食品中有毒有害物质的测定原理、方法和操作技能。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⑥掌握现代分析仪器如气相色谱仪、高效液相色谱仪等的操作规程、应用技术、调试和维护等。</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⑦掌握食品企业的在线快速分析检测技术，并能熟练进行品质管理。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⑧通过理论实践一体化课堂学习，使学生获得较强的实践动手能力，使学生具备必要的基本知识，具有一定的资料收集整理能力制定、实施工作计划和自我学习的能力。</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知识目标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通过本课程的学习，使学生具备食品理化分析样品采集、样品制备和预处理等基本知识，熟知食品中营养组分、食品安全性分析的方法原理和基本理论等。能在食品企业、商检、卫生防疫等领域，从事与食品质量检验有关的技术、管理、食品生产及教学、实验等相关的工作。</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素质目标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①通过该课程各项实践技能的训练，使学生经历基本的工程技术工作过程，形成尊重科学、实事求是、与时俱进、服务未来的科学态度。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②通过对食品理化分析方法的认识和深刻领会，以及教学实训过程中创新方法的训练，培养学生提出问题、独立分析问题、解决问题和技术创新的能力，使学生养成良好的思维习惯，掌握基本的思考与设计的方法，在未来的工作中敢于创新、善于创新。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③在技能训练中，注意培养爱护食品分析仪器和设备、安全文明使用的好习惯，严格执行食品现代分析仪器安全操作规程。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④对从事食品分析和化验工作，充满热情。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⑤有较强的求知欲，乐于、善于使用所学食品理化分析解决生产实际问题。具有克服困难的信心和决心，从战胜困难、实现目标、完善成果中体验喜悦。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⑥具有实事求是的科学态度，乐于通过亲历实践，检验、判断各种技术问题。  </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⑦在工作实践中，有与他人合作的团队精神，敢于提出与别人不同的见解，也勇于放弃或修正自己的错误观点。</w:t>
            </w:r>
          </w:p>
        </w:tc>
        <w:tc>
          <w:tcPr>
            <w:tcW w:w="2389" w:type="dxa"/>
            <w:tcBorders>
              <w:left w:val="single" w:color="auto" w:sz="4"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项目一食品理化检测基本程序的认知</w:t>
            </w:r>
          </w:p>
          <w:p>
            <w:pPr>
              <w:widowControl/>
              <w:rPr>
                <w:rFonts w:hint="eastAsia" w:ascii="宋体" w:hAnsi="宋体" w:eastAsia="宋体" w:cs="Times New Roman"/>
                <w:color w:val="000000"/>
                <w:kern w:val="0"/>
                <w:sz w:val="18"/>
                <w:szCs w:val="18"/>
              </w:rPr>
            </w:pP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项目二食品物理性能指标的测定</w:t>
            </w:r>
          </w:p>
          <w:p>
            <w:pPr>
              <w:widowControl/>
              <w:rPr>
                <w:rFonts w:hint="eastAsia" w:ascii="宋体" w:hAnsi="宋体" w:eastAsia="宋体" w:cs="Times New Roman"/>
                <w:color w:val="000000"/>
                <w:kern w:val="0"/>
                <w:sz w:val="18"/>
                <w:szCs w:val="18"/>
              </w:rPr>
            </w:pP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项目三食品中常规成分的测定</w:t>
            </w:r>
          </w:p>
          <w:p>
            <w:pPr>
              <w:widowControl/>
              <w:rPr>
                <w:rFonts w:hint="eastAsia" w:ascii="宋体" w:hAnsi="宋体" w:eastAsia="宋体" w:cs="Times New Roman"/>
                <w:color w:val="000000"/>
                <w:kern w:val="0"/>
                <w:sz w:val="18"/>
                <w:szCs w:val="18"/>
              </w:rPr>
            </w:pP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项目四食品安全性分析与检测</w:t>
            </w:r>
          </w:p>
        </w:tc>
        <w:tc>
          <w:tcPr>
            <w:tcW w:w="1550" w:type="dxa"/>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引导学生积极主动的思考，从而激发学生的学习兴趣，能勇于面对困难，修正错误，完善自我；</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能够具备知识更新能力和可持续发展能力；</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能够制定和安排工作计划、搜集、整理、分析相关工程资料；</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能主动探索与研究完成工作任务所遇到的问题；</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能在完成工作任务后及时进行归纳总结。</w:t>
            </w:r>
          </w:p>
          <w:p>
            <w:pPr>
              <w:widowControl/>
              <w:rPr>
                <w:rFonts w:hint="eastAsia" w:ascii="宋体" w:hAnsi="宋体" w:eastAsia="宋体" w:cs="Times New Roman"/>
                <w:color w:val="000000"/>
                <w:kern w:val="0"/>
                <w:sz w:val="18"/>
                <w:szCs w:val="18"/>
                <w:lang w:val="en-US" w:eastAsia="zh-CN"/>
              </w:rPr>
            </w:pPr>
          </w:p>
        </w:tc>
        <w:tc>
          <w:tcPr>
            <w:tcW w:w="1984"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教学内容采用案例教学，实际项目任务分解的方式行进，扩散思维、创造性思</w:t>
            </w:r>
          </w:p>
        </w:tc>
        <w:tc>
          <w:tcPr>
            <w:tcW w:w="642" w:type="dxa"/>
            <w:tcBorders>
              <w:left w:val="single" w:color="auto" w:sz="8" w:space="0"/>
            </w:tcBorders>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8</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食品掺伪鉴别检验</w:t>
            </w:r>
          </w:p>
        </w:tc>
        <w:tc>
          <w:tcPr>
            <w:tcW w:w="6551" w:type="dxa"/>
            <w:tcBorders>
              <w:left w:val="single" w:color="auto" w:sz="8"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技能目标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①学会各种食品掺伪检验方式；</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②能应用食品掺伪检验的各种方法在实际生产生活中的应用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③能准确、快速地鉴别出各种食品的质量并进行评价</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知识目标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①了解食品和食品安全的定义、食品安全的意义、食品问题产生的原因；</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②了解各类食品的发展现状及各类食品的掺伪问题</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③理解粮食制品的概念及其掺伪方式，掌握粮食制品的掺伪检验技术及评价；</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④理解食用油脂的质量评价及掺伪方式，掌握食用油脂掺伪检验技术及评价；</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⑤理解乳及乳制品的质量评价与掺伪方式，掌握乳及乳制品的掺伪检验技术及评价；</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⑥理解肉类及其制品的概念及掺伪方式，掌握肉类及其制品的质量评价与掺伪检验技术；</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⑦了解茶叶及茶饮料的分类，了解茶饮料的掺伪方式；掌握茶叶的质量评价及掺伪检验技术；</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⑧了解蜂产品的概念及主要掺伪方式，掌握蜂产品的掺伪检验技术及评价；</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⑨了解我国调味品的掺伪问题及主要掺伪方式，掌握调味品的质量评价及掺伪检验技术；</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⑩了解各种酒的分类以及各种酒的掺伪方式，掌握各类酒的质量评价与掺伪检验技术。</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素质目标</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①树立“质量第一”的观念。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②确立食品安全观念，培养产品质量意识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③形成严谨求实的科学态度，确立公正客观的工作作风。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④养成爱岗敬业的职业道德，养成良好的团队合作与沟通的职业素质。</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 xml:space="preserve">⑤具有可持续发展的能力 </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⑥树立敬业精神、质量意识、服务意识、公正意识、奉献意识，为良好职业道德行为习惯的养成打下基础。</w:t>
            </w:r>
          </w:p>
          <w:p>
            <w:pPr>
              <w:widowControl/>
              <w:rPr>
                <w:rFonts w:hint="eastAsia" w:ascii="宋体" w:hAnsi="宋体" w:eastAsia="宋体" w:cs="Times New Roman"/>
                <w:color w:val="000000"/>
                <w:kern w:val="0"/>
                <w:sz w:val="18"/>
                <w:szCs w:val="18"/>
                <w:lang w:val="en-US" w:eastAsia="zh-CN"/>
              </w:rPr>
            </w:pPr>
          </w:p>
        </w:tc>
        <w:tc>
          <w:tcPr>
            <w:tcW w:w="2389" w:type="dxa"/>
            <w:tcBorders>
              <w:left w:val="single" w:color="auto" w:sz="4" w:space="0"/>
              <w:right w:val="single" w:color="auto" w:sz="4" w:space="0"/>
            </w:tcBorders>
            <w:vAlign w:val="center"/>
          </w:tcPr>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项目一食品安全的意义</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项目二 粮食制品的掺伪检验</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项目三 食用油脂掺伪检验</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项目四 乳及乳制品掺伪检验</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项目五 肉类及其制品掺伪检验</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项目六 茶叶及其制品的掺伪检验</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项目七 蜂产品的掺伪检验</w:t>
            </w:r>
          </w:p>
          <w:p>
            <w:pPr>
              <w:widowControl/>
              <w:rPr>
                <w:rFonts w:hint="eastAsia" w:ascii="宋体" w:hAnsi="宋体" w:eastAsia="宋体" w:cs="Times New Roman"/>
                <w:color w:val="000000"/>
                <w:kern w:val="0"/>
                <w:sz w:val="18"/>
                <w:szCs w:val="18"/>
              </w:rPr>
            </w:pPr>
            <w:r>
              <w:rPr>
                <w:rFonts w:hint="eastAsia" w:ascii="宋体" w:hAnsi="宋体" w:eastAsia="宋体" w:cs="Times New Roman"/>
                <w:color w:val="000000"/>
                <w:kern w:val="0"/>
                <w:sz w:val="18"/>
                <w:szCs w:val="18"/>
              </w:rPr>
              <w:t>项目八 调味品的掺伪检验</w:t>
            </w:r>
          </w:p>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项目九 酒类掺伪检测</w:t>
            </w:r>
          </w:p>
        </w:tc>
        <w:tc>
          <w:tcPr>
            <w:tcW w:w="1550"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引导学生自我发展，让学生具有较强的信息交流能力，了解相关专业的最新成就和发展方向；团队合作及协调能力；勇于创新、敬业乐业的工作作风；提出问题、分析问题和解决问题的能力。</w:t>
            </w:r>
          </w:p>
        </w:tc>
        <w:tc>
          <w:tcPr>
            <w:tcW w:w="1984" w:type="dxa"/>
            <w:vAlign w:val="center"/>
          </w:tcPr>
          <w:p>
            <w:pPr>
              <w:widowControl/>
              <w:rPr>
                <w:rFonts w:hint="eastAsia"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rPr>
              <w:t>教学内容采用案例教学，实际项目任务分解的方式行进，扩散思维、创造性思维</w:t>
            </w:r>
          </w:p>
        </w:tc>
        <w:tc>
          <w:tcPr>
            <w:tcW w:w="642" w:type="dxa"/>
            <w:tcBorders>
              <w:left w:val="single" w:color="auto" w:sz="8" w:space="0"/>
            </w:tcBorders>
            <w:vAlign w:val="center"/>
          </w:tcPr>
          <w:p>
            <w:pPr>
              <w:widowControl/>
              <w:rPr>
                <w:rFonts w:hint="default" w:ascii="宋体" w:hAnsi="宋体" w:eastAsia="宋体" w:cs="Times New Roman"/>
                <w:color w:val="000000"/>
                <w:kern w:val="0"/>
                <w:sz w:val="18"/>
                <w:szCs w:val="18"/>
                <w:lang w:val="en-US" w:eastAsia="zh-CN"/>
              </w:rPr>
            </w:pPr>
            <w:r>
              <w:rPr>
                <w:rFonts w:hint="eastAsia" w:ascii="宋体" w:hAnsi="宋体" w:eastAsia="宋体" w:cs="Times New Roman"/>
                <w:color w:val="000000"/>
                <w:kern w:val="0"/>
                <w:sz w:val="18"/>
                <w:szCs w:val="18"/>
                <w:lang w:val="en-US" w:eastAsia="zh-CN"/>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val="en-US" w:eastAsia="zh-CN"/>
              </w:rPr>
              <w:t>9</w:t>
            </w:r>
          </w:p>
        </w:tc>
        <w:tc>
          <w:tcPr>
            <w:tcW w:w="100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分析化学</w:t>
            </w:r>
          </w:p>
        </w:tc>
        <w:tc>
          <w:tcPr>
            <w:tcW w:w="6551" w:type="dxa"/>
            <w:tcBorders>
              <w:left w:val="single" w:color="auto" w:sz="8" w:space="0"/>
              <w:right w:val="single" w:color="auto" w:sz="4" w:space="0"/>
            </w:tcBorders>
            <w:vAlign w:val="center"/>
          </w:tcPr>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(1)识记四大滴定法中的基本概念、专有名词、专业术语；</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(2)理解酸碱平衡、配位平衡、氧化还原平衡、沉淀溶解平衡的原理；</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(3)理解四大滴定法的测定原理，识记滴定反应的条件；</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(4)识记酸碱缓冲溶液的定义、组成和缓冲范围；</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(5)会计算强酸、强碱、一元弱酸、弱碱、水解性盐、缓冲溶液的pH；</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(6)了解滴定曲线的意义，能识读酸碱滴定曲线；</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(7)能说出常用酸碱指示剂的变色范围和指示剂的选择原则；识记酸碱滴定法可行性判断依据；</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(8)能说出EDTA的组成及其与金属离子的配位特性；</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(9)理解金属指示剂的变色原理，识记金属指示剂的选择条件和常用指示剂的适用条件以及单一离子及混合离子的测定条件；</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(10)能说出电极电位、标准电极电位大小的含义；</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(11)能说出高锰酸钾法、重铬酸钾法以及碘量法的滴定条件、操作步骤和注意事项；</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(12)会用溶度积规则判断沉淀的生成和溶解；</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(13)能说出莫尔法、佛尔哈德法、法扬司法的滴定条件和终点判断方法；</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(14)能根据不同类型的滴定准确选择合适的指示剂，并根据指示剂颜色的突跃正确判断滴定终点；</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(15)能按国家标准制备HCl、NaOH、EDTA、Zn2+、KMnO4、K2Cr2O7、I2、Na2S2O3、AgNO3、NH4SCN标准溶液；</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(16)识记重量法的概念、类型和使用范围；</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(17)能说出晶形与非晶形沉淀条件的选择；</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(18)能识读作业指导书，并根据指导书核对实验仪器、实验试剂和实验室环境要求；</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(19)能根据标准，规范使用分析检验用具，运用滴定分析及重量分析方法进行物质含量的测定；</w:t>
            </w:r>
          </w:p>
          <w:p>
            <w:pPr>
              <w:widowControl/>
              <w:rPr>
                <w:rFonts w:ascii="宋体" w:hAnsi="宋体" w:eastAsia="宋体" w:cs="Times New Roman"/>
                <w:color w:val="000000"/>
                <w:kern w:val="0"/>
                <w:sz w:val="18"/>
                <w:szCs w:val="18"/>
              </w:rPr>
            </w:pPr>
            <w:r>
              <w:rPr>
                <w:rFonts w:ascii="宋体" w:hAnsi="宋体" w:eastAsia="宋体" w:cs="Times New Roman"/>
                <w:color w:val="000000"/>
                <w:kern w:val="0"/>
                <w:sz w:val="18"/>
                <w:szCs w:val="18"/>
              </w:rPr>
              <w:t>(20)能规范填写检验报告，正确处理数据、评价检验结果，会分析误差产生的原因</w:t>
            </w:r>
          </w:p>
        </w:tc>
        <w:tc>
          <w:tcPr>
            <w:tcW w:w="2389" w:type="dxa"/>
            <w:tcBorders>
              <w:left w:val="single" w:color="auto" w:sz="4" w:space="0"/>
              <w:right w:val="single" w:color="auto" w:sz="4" w:space="0"/>
            </w:tcBorders>
            <w:vAlign w:val="center"/>
          </w:tcPr>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(1)酸碱滴定法测定物质含量：</w:t>
            </w:r>
            <w:r>
              <w:rPr>
                <w:rFonts w:hint="eastAsia" w:ascii="宋体" w:hAnsi="宋体" w:eastAsia="宋体" w:cs="Times New Roman"/>
                <w:color w:val="000000"/>
                <w:sz w:val="18"/>
                <w:szCs w:val="18"/>
              </w:rPr>
              <w:t>①酸碱电离平衡；</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②酸碱指示剂；③滴定曲线及指示剂的选择；</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④酸碱滴定方式与应用；</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⑤</w:t>
            </w:r>
            <w:r>
              <w:rPr>
                <w:rFonts w:ascii="宋体" w:hAnsi="宋体" w:eastAsia="宋体" w:cs="Times New Roman"/>
                <w:color w:val="000000"/>
                <w:sz w:val="18"/>
                <w:szCs w:val="18"/>
              </w:rPr>
              <w:t>NaOH标准溶液的制备；</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⑥</w:t>
            </w:r>
            <w:r>
              <w:rPr>
                <w:rFonts w:ascii="宋体" w:hAnsi="宋体" w:eastAsia="宋体" w:cs="Times New Roman"/>
                <w:color w:val="000000"/>
                <w:sz w:val="18"/>
                <w:szCs w:val="18"/>
              </w:rPr>
              <w:t>HCl标准溶液的制备</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(2)配位滴定法测定的物质含量：</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①</w:t>
            </w:r>
            <w:r>
              <w:rPr>
                <w:rFonts w:ascii="宋体" w:hAnsi="宋体" w:eastAsia="宋体" w:cs="Times New Roman"/>
                <w:color w:val="000000"/>
                <w:sz w:val="18"/>
                <w:szCs w:val="18"/>
              </w:rPr>
              <w:t>EDTA及其分析特性；</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②配位反应及配位平衡；</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③金属指示剂；</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④配位滴定方式及其应用；</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⑤</w:t>
            </w:r>
            <w:r>
              <w:rPr>
                <w:rFonts w:ascii="宋体" w:hAnsi="宋体" w:eastAsia="宋体" w:cs="Times New Roman"/>
                <w:color w:val="000000"/>
                <w:sz w:val="18"/>
                <w:szCs w:val="18"/>
              </w:rPr>
              <w:t>EDTA标准溶液的制备</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(3)氧化还原滴定法测定物质含量：</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①氧化还原平衡与反应的条件；</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②高锰酸钾法、碘量法、重铬酸钾法</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 xml:space="preserve"> (4)沉淀滴定法测定物质含量：</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①沉淀溶解平衡；</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②溶度积规则及应用；</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③莫尔法、佛尔哈德法、法扬司法</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(5)重量分析法测定物质含量：</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①重量分析法的分类及特点；</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②试样的溶解与沉淀；</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③沉淀的过滤和洗涤；</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④沉淀的烘干和灼烧；</w:t>
            </w:r>
          </w:p>
          <w:p>
            <w:pPr>
              <w:widowControl/>
              <w:rPr>
                <w:rFonts w:ascii="宋体" w:hAnsi="宋体" w:eastAsia="宋体" w:cs="Times New Roman"/>
                <w:color w:val="000000"/>
                <w:kern w:val="0"/>
                <w:sz w:val="18"/>
                <w:szCs w:val="18"/>
              </w:rPr>
            </w:pPr>
            <w:r>
              <w:rPr>
                <w:rFonts w:hint="eastAsia" w:ascii="宋体" w:hAnsi="宋体" w:eastAsia="宋体" w:cs="Times New Roman"/>
                <w:color w:val="000000"/>
                <w:sz w:val="18"/>
                <w:szCs w:val="18"/>
              </w:rPr>
              <w:t>⑤重量分析法的应用及结果计算</w:t>
            </w:r>
          </w:p>
        </w:tc>
        <w:tc>
          <w:tcPr>
            <w:tcW w:w="1550" w:type="dxa"/>
            <w:vAlign w:val="center"/>
          </w:tcPr>
          <w:p>
            <w:pPr>
              <w:widowControl/>
              <w:spacing w:line="0" w:lineRule="atLeas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1）培养学生严谨、求实的实验作风和科学态度，树立准确的“量”的概念；</w:t>
            </w:r>
          </w:p>
          <w:p>
            <w:pPr>
              <w:widowControl/>
              <w:spacing w:line="0" w:lineRule="atLeas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2）培养学生的团队协作精神；</w:t>
            </w:r>
          </w:p>
          <w:p>
            <w:pPr>
              <w:widowControl/>
              <w:spacing w:line="0" w:lineRule="atLeas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3）培养学生分析问题、解决问题的能力；</w:t>
            </w:r>
          </w:p>
          <w:p>
            <w:pPr>
              <w:widowControl/>
              <w:spacing w:line="0" w:lineRule="atLeas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4）培养学生勇于创新、敬业乐业的工作作风；</w:t>
            </w:r>
          </w:p>
          <w:p>
            <w:pPr>
              <w:widowControl/>
              <w:spacing w:line="0" w:lineRule="atLeas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5）培养学生良好的实验习惯：准备充分、工作有序、文明操作、记录简明、杜绝虚假、质量保证的质量意识；</w:t>
            </w:r>
          </w:p>
          <w:p>
            <w:pPr>
              <w:widowControl/>
              <w:spacing w:line="0" w:lineRule="atLeast"/>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6）培养学生诚实、守信、坚韧不拔的性格；</w:t>
            </w:r>
          </w:p>
          <w:p>
            <w:pPr>
              <w:widowControl/>
              <w:rPr>
                <w:rFonts w:ascii="宋体" w:hAnsi="宋体" w:eastAsia="宋体" w:cs="Times New Roman"/>
                <w:color w:val="000000"/>
                <w:kern w:val="0"/>
                <w:sz w:val="18"/>
                <w:szCs w:val="18"/>
              </w:rPr>
            </w:pPr>
            <w:r>
              <w:rPr>
                <w:rFonts w:hint="eastAsia" w:ascii="宋体" w:hAnsi="宋体" w:eastAsia="宋体" w:cs="Times New Roman"/>
                <w:color w:val="000000"/>
                <w:kern w:val="0"/>
                <w:sz w:val="18"/>
                <w:szCs w:val="18"/>
              </w:rPr>
              <w:t>（</w:t>
            </w:r>
            <w:r>
              <w:rPr>
                <w:rFonts w:ascii="宋体" w:hAnsi="宋体" w:eastAsia="宋体" w:cs="Times New Roman"/>
                <w:color w:val="000000"/>
                <w:kern w:val="0"/>
                <w:sz w:val="18"/>
                <w:szCs w:val="18"/>
              </w:rPr>
              <w:t>7）培养学生培养学生热爱环境保护工作，具有爱岗敬业的精神和职业态度，能下到生产一线吃苦耐劳，全心全意长期从事工业分析一线岗位技术工作并做出较大贡献的基本态度.</w:t>
            </w:r>
          </w:p>
        </w:tc>
        <w:tc>
          <w:tcPr>
            <w:tcW w:w="1984" w:type="dxa"/>
            <w:vAlign w:val="center"/>
          </w:tcPr>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1. 教学中注意以学生为主体，教师为主导，引导和启发学生多思考，而不是教师满堂灌，课堂教学中多以案例教学，增加讨论时间；</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2 .建议通过精选工业分析的实际项目，把技能训练和职业素质培养有机结合起来，注重学生综合能力的培养与提高，突出强调职业岗位针对性，从而增强学生的择业竞争力；</w:t>
            </w:r>
          </w:p>
          <w:p>
            <w:pPr>
              <w:widowControl/>
              <w:spacing w:line="0" w:lineRule="atLeast"/>
              <w:rPr>
                <w:rFonts w:ascii="宋体" w:hAnsi="宋体" w:eastAsia="宋体" w:cs="Times New Roman"/>
                <w:color w:val="000000"/>
                <w:kern w:val="0"/>
                <w:sz w:val="18"/>
                <w:szCs w:val="18"/>
              </w:rPr>
            </w:pPr>
            <w:r>
              <w:rPr>
                <w:rFonts w:ascii="宋体" w:hAnsi="宋体" w:eastAsia="宋体" w:cs="Times New Roman"/>
                <w:color w:val="000000"/>
                <w:kern w:val="0"/>
                <w:sz w:val="18"/>
                <w:szCs w:val="18"/>
              </w:rPr>
              <w:t>3. 将分析化学的理论知识渗透到项目训练的过程中，引导学生理论指导实践，实现理实一体化教学；</w:t>
            </w:r>
          </w:p>
          <w:p>
            <w:pPr>
              <w:widowControl/>
              <w:rPr>
                <w:rFonts w:ascii="宋体" w:hAnsi="宋体" w:eastAsia="宋体" w:cs="Times New Roman"/>
                <w:color w:val="000000"/>
                <w:kern w:val="0"/>
                <w:sz w:val="18"/>
                <w:szCs w:val="18"/>
              </w:rPr>
            </w:pPr>
            <w:r>
              <w:rPr>
                <w:rFonts w:ascii="宋体" w:hAnsi="宋体" w:eastAsia="宋体" w:cs="Times New Roman"/>
                <w:color w:val="000000"/>
                <w:kern w:val="0"/>
                <w:sz w:val="18"/>
                <w:szCs w:val="18"/>
              </w:rPr>
              <w:t>4. 建议教学中合理运用多媒体现代学教学手段，多媒体辅助教学课件图文并茂，丰富多彩，增加了教学的直观性和趣味性，突出重点的同时，攻克了教学难点，</w:t>
            </w:r>
          </w:p>
        </w:tc>
        <w:tc>
          <w:tcPr>
            <w:tcW w:w="642" w:type="dxa"/>
            <w:tcBorders>
              <w:lef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w:t>
            </w:r>
            <w:r>
              <w:rPr>
                <w:rFonts w:ascii="宋体" w:hAnsi="宋体" w:eastAsia="宋体" w:cs="Times New Roman"/>
                <w:color w:val="000000"/>
                <w:sz w:val="18"/>
                <w:szCs w:val="18"/>
              </w:rPr>
              <w:t>08</w:t>
            </w:r>
            <w:r>
              <w:rPr>
                <w:rFonts w:hint="eastAsia" w:ascii="宋体" w:hAnsi="宋体" w:eastAsia="宋体" w:cs="Times New Roman"/>
                <w:color w:val="000000"/>
                <w:sz w:val="18"/>
                <w:szCs w:val="18"/>
              </w:rPr>
              <w:t>+</w:t>
            </w:r>
            <w:r>
              <w:rPr>
                <w:rFonts w:ascii="宋体" w:hAnsi="宋体" w:eastAsia="宋体" w:cs="Times New Roman"/>
                <w:color w:val="000000"/>
                <w:sz w:val="18"/>
                <w:szCs w:val="18"/>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10</w:t>
            </w:r>
          </w:p>
        </w:tc>
        <w:tc>
          <w:tcPr>
            <w:tcW w:w="100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仪器分析</w:t>
            </w:r>
          </w:p>
        </w:tc>
        <w:tc>
          <w:tcPr>
            <w:tcW w:w="655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ascii="宋体" w:hAnsi="宋体" w:eastAsia="宋体" w:cs="Times New Roman"/>
                <w:color w:val="000000"/>
                <w:sz w:val="18"/>
                <w:szCs w:val="18"/>
              </w:rPr>
              <w:t>(1)识记仪器分析法的基本内容和分类；</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(2)识记光度分析法的专业名词、操作步骤；</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(3)能说出光度分析法的基本原理；</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(4)能说出分光光度计的基本组成和各部件的作用，能对其进行常规的保养和维护；</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(5)能用紫外可见光度分析法测定样品（定性、定量）；</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(6)识记目视比色法的专业名词、测定步骤和操作步骤；</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(7)能用目视比色分析法定量测定样品；</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(8)能说出电位分析法的基本原理；</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(9)能说出酸度计的构造、使用方法和使用注意事项；</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(10)能识读仪器和电极使用说明书；</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 xml:space="preserve">(11)能搭建测定装置，正确选择和使用电极按操作规程测定溶液的pH值或离子浓度；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(12)理解电位滴定法的测定条件控制意义和控制方法，以及测定操作原理和操作步骤；</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(13)识记电位滴定法确定终点的方法；</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 xml:space="preserve">(14)能搭建测定装置，正确选择和使用电极，按操作规程完成电位滴定法的测定操作；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(15)能针对不同的分析方法对样品进行前处理；</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(16)能正确处理数据，准确报告结果；</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(17)能说出原子吸收仪、气相色谱仪的组成和各部件的作用；</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(18)能简述原子吸收法、气相色谱法的原理、测定条件选择、定性、定量分析的方法；</w:t>
            </w:r>
          </w:p>
          <w:p>
            <w:pPr>
              <w:widowControl/>
              <w:rPr>
                <w:rFonts w:ascii="宋体" w:hAnsi="宋体" w:eastAsia="宋体" w:cs="Times New Roman"/>
                <w:color w:val="000000"/>
                <w:kern w:val="0"/>
                <w:sz w:val="18"/>
                <w:szCs w:val="18"/>
              </w:rPr>
            </w:pPr>
            <w:r>
              <w:rPr>
                <w:rFonts w:ascii="宋体" w:hAnsi="宋体" w:eastAsia="宋体" w:cs="Times New Roman"/>
                <w:color w:val="000000"/>
                <w:sz w:val="18"/>
                <w:szCs w:val="18"/>
              </w:rPr>
              <w:t>(19)具备扩大和深化仪器分析技术的自学能力</w:t>
            </w:r>
          </w:p>
        </w:tc>
        <w:tc>
          <w:tcPr>
            <w:tcW w:w="2389"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ascii="宋体" w:hAnsi="宋体" w:eastAsia="宋体" w:cs="Times New Roman"/>
                <w:color w:val="000000"/>
                <w:sz w:val="18"/>
                <w:szCs w:val="18"/>
              </w:rPr>
              <w:t>(1)光度分析法: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①光度分析法的基本原理；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②分光光度计的基本组成和保养；</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③可见分光光度法实验技术；</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④可见分光光度法的应用；</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⑤目视比色法；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⑥紫外分光光度法及其应用</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(2)电位分析法：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①电位分析法的基本原理；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②指示电极和参比电极；</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③直接电位法测定溶液</w:t>
            </w:r>
            <w:r>
              <w:rPr>
                <w:rFonts w:ascii="宋体" w:hAnsi="宋体" w:eastAsia="宋体" w:cs="Times New Roman"/>
                <w:color w:val="000000"/>
                <w:sz w:val="18"/>
                <w:szCs w:val="18"/>
              </w:rPr>
              <w:t>pH；</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④直接电位法测定溶液离子浓度；</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⑤电位滴定法</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(3)原子吸收光谱分析法：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①原子吸收法的基本原理；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②原子吸收分光光度计；</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③原子吸收光谱分析实验技术；</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④原子吸收法的干扰和消除技术；</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⑤原子吸收法的定量方法</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(4)气相色谱法：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①气相色谱仪及原理；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②气相色谱分离操作条件的选择；</w:t>
            </w:r>
          </w:p>
          <w:p>
            <w:pPr>
              <w:widowControl/>
              <w:rPr>
                <w:rFonts w:ascii="宋体" w:hAnsi="宋体" w:eastAsia="宋体" w:cs="Times New Roman"/>
                <w:color w:val="000000"/>
                <w:kern w:val="0"/>
                <w:sz w:val="18"/>
                <w:szCs w:val="18"/>
              </w:rPr>
            </w:pPr>
            <w:r>
              <w:rPr>
                <w:rFonts w:hint="eastAsia" w:ascii="宋体" w:hAnsi="宋体" w:eastAsia="宋体" w:cs="Times New Roman"/>
                <w:color w:val="000000"/>
                <w:sz w:val="18"/>
                <w:szCs w:val="18"/>
              </w:rPr>
              <w:t>③气相色谱定性、定量方法</w:t>
            </w:r>
          </w:p>
        </w:tc>
        <w:tc>
          <w:tcPr>
            <w:tcW w:w="1550" w:type="dxa"/>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1）培养学生观察能力和实验能力。</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2）培养学生逻辑思维能力和分析表达能力。</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3）培养学生理论联系实际的能力。</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4）培养学生对比、总结、归纳知识的能力。</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5）激发学生的学习兴趣和情感，培养学生严谨求实的科学作风。</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6）对学生进行透过现象看本质的辩证唯物主义教育，学会由个别到一般的认识事物的方法。</w:t>
            </w:r>
          </w:p>
          <w:p>
            <w:pPr>
              <w:widowControl/>
              <w:rPr>
                <w:rFonts w:ascii="宋体" w:hAnsi="宋体" w:eastAsia="宋体" w:cs="Times New Roman"/>
                <w:color w:val="000000"/>
                <w:kern w:val="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7）对学生进行安全教育和环境教育。</w:t>
            </w:r>
          </w:p>
        </w:tc>
        <w:tc>
          <w:tcPr>
            <w:tcW w:w="1984" w:type="dxa"/>
            <w:vAlign w:val="center"/>
          </w:tcPr>
          <w:p>
            <w:pPr>
              <w:widowControl/>
              <w:rPr>
                <w:rFonts w:ascii="宋体" w:hAnsi="宋体" w:eastAsia="宋体" w:cs="Times New Roman"/>
                <w:color w:val="000000"/>
                <w:kern w:val="0"/>
                <w:sz w:val="18"/>
                <w:szCs w:val="18"/>
              </w:rPr>
            </w:pPr>
            <w:r>
              <w:rPr>
                <w:rFonts w:hint="eastAsia" w:ascii="宋体" w:hAnsi="宋体" w:eastAsia="宋体" w:cs="Times New Roman"/>
                <w:color w:val="000000"/>
                <w:sz w:val="18"/>
                <w:szCs w:val="18"/>
              </w:rPr>
              <w:t>理论课教学主要灵活采用“自学引导式”教学法，讲授式教学法，自学法和计算机辅助教学法等多种方式。对一般知识介绍性的内容安排学生自学，教学中的难点和学科前沿知识采用讲授法，对用重点内容采用“自学引导式”教学法。“自学引导式”教学法将自学，讨论式教学，研究性教学和合作学习融为一体，有效地调动了学生的学习兴趣，促进学生的积极思考，激发学生的学习潜能，受到学生的欢迎。在实验课程教学大量采用启发式、互动式和讨论式的教学，特别中着力体现对学生的设计性和综合性实践能力的培养，懂得如何查阅资料、确立分析方法、获取及分析实验结果、写出合理的实验报告。在教学手段上，充分利用信息化教学资源，重点突出。</w:t>
            </w:r>
          </w:p>
        </w:tc>
        <w:tc>
          <w:tcPr>
            <w:tcW w:w="642" w:type="dxa"/>
            <w:tcBorders>
              <w:left w:val="single" w:color="auto" w:sz="8" w:space="0"/>
            </w:tcBorders>
            <w:vAlign w:val="center"/>
          </w:tcPr>
          <w:p>
            <w:pPr>
              <w:widowControl/>
              <w:jc w:val="center"/>
              <w:rPr>
                <w:rFonts w:ascii="宋体" w:hAnsi="宋体" w:eastAsia="宋体" w:cs="Times New Roman"/>
                <w:color w:val="000000"/>
                <w:sz w:val="18"/>
                <w:szCs w:val="18"/>
              </w:rPr>
            </w:pPr>
            <w:r>
              <w:rPr>
                <w:rFonts w:ascii="宋体" w:hAnsi="宋体" w:eastAsia="宋体" w:cs="Times New Roman"/>
                <w:color w:val="000000"/>
                <w:sz w:val="18"/>
                <w:szCs w:val="18"/>
              </w:rPr>
              <w:t>108</w:t>
            </w:r>
            <w:r>
              <w:rPr>
                <w:rFonts w:hint="eastAsia" w:ascii="宋体" w:hAnsi="宋体" w:eastAsia="宋体" w:cs="Times New Roman"/>
                <w:color w:val="000000"/>
                <w:sz w:val="18"/>
                <w:szCs w:val="18"/>
              </w:rPr>
              <w:t>+</w:t>
            </w:r>
            <w:r>
              <w:rPr>
                <w:rFonts w:ascii="宋体" w:hAnsi="宋体" w:eastAsia="宋体" w:cs="Times New Roman"/>
                <w:color w:val="000000"/>
                <w:sz w:val="18"/>
                <w:szCs w:val="18"/>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11</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食品法律法规与标准</w:t>
            </w:r>
          </w:p>
        </w:tc>
        <w:tc>
          <w:tcPr>
            <w:tcW w:w="655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能力目标： </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①能够运用标准化方法进行企业管理。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②能够运用食品标准与法规进行食品生产过程和质量与安全的监督管理。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③能够进行有关食品标准与法规的技术培训，并对食品质量与安全事件进行协调处理的能力。</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④学会制定食品标准和食品生产许可证、有机食品、无公害食品、绿色食品、ISO质量管理体系认证的程序和体系文件编制质量管理体系认证的程序和体系文件编制。</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知识目标：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①了解食品标准与法规基本内容、作用和意义。</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②掌握标准化的方法原理、制定标准的原则、依据GB/1.1的具体要求，熟练掌握食品产品的制定程序，并能够编制标准。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③掌握食品法规的发展趋势以及制定的程序，能够熟</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素质目标：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①增强食品质量与安全观念。</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②增强用标准与法规约束生产的意识。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③形成严谨求实的科学态度。</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④养成爱岗敬业的职业道德。</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⑤保持互助合作的团队精神。</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⑥练掌握法律法规在食品生产中应用。</w:t>
            </w:r>
          </w:p>
          <w:p>
            <w:pPr>
              <w:widowControl/>
              <w:rPr>
                <w:rFonts w:ascii="宋体" w:hAnsi="宋体" w:eastAsia="宋体" w:cs="Times New Roman"/>
                <w:color w:val="000000"/>
                <w:sz w:val="18"/>
                <w:szCs w:val="18"/>
                <w:lang w:val="en-US" w:eastAsia="zh-CN"/>
              </w:rPr>
            </w:pPr>
          </w:p>
        </w:tc>
        <w:tc>
          <w:tcPr>
            <w:tcW w:w="2389"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项目一 食品安全法律法规与标准基础知识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项目二 国际食品法规与标准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项目三 发达国家/地区食品安全法律法规与标准</w:t>
            </w:r>
          </w:p>
          <w:p>
            <w:pPr>
              <w:widowControl/>
              <w:rPr>
                <w:rFonts w:ascii="宋体" w:hAnsi="宋体" w:eastAsia="宋体" w:cs="Times New Roman"/>
                <w:color w:val="000000"/>
                <w:sz w:val="18"/>
                <w:szCs w:val="18"/>
              </w:rPr>
            </w:pPr>
          </w:p>
          <w:p>
            <w:pPr>
              <w:widowControl/>
              <w:rPr>
                <w:rFonts w:ascii="宋体" w:hAnsi="宋体" w:eastAsia="宋体" w:cs="Times New Roman"/>
                <w:color w:val="000000"/>
                <w:sz w:val="18"/>
                <w:szCs w:val="18"/>
              </w:rPr>
            </w:pPr>
          </w:p>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项目四 中国食品安全法律法规与标准</w:t>
            </w:r>
          </w:p>
        </w:tc>
        <w:tc>
          <w:tcPr>
            <w:tcW w:w="1550" w:type="dxa"/>
            <w:vAlign w:val="center"/>
          </w:tcPr>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培养学生以职业能力为本位，了解当今食品标准与法规的发展动态，并能理论联系实际，提高在食品生产实践过程中分析和解决问题的能力。</w:t>
            </w:r>
          </w:p>
        </w:tc>
        <w:tc>
          <w:tcPr>
            <w:tcW w:w="1984" w:type="dxa"/>
            <w:vAlign w:val="center"/>
          </w:tcPr>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主要采取讲授法，讲授应深入浅出、理论联系实际，把食品安全法律法规与标准的基本理论传授给学生，使学生能够深入领会并理解</w:t>
            </w:r>
          </w:p>
        </w:tc>
        <w:tc>
          <w:tcPr>
            <w:tcW w:w="642" w:type="dxa"/>
            <w:tcBorders>
              <w:left w:val="single" w:color="auto" w:sz="8" w:space="0"/>
            </w:tcBorders>
            <w:vAlign w:val="center"/>
          </w:tcPr>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36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12</w:t>
            </w:r>
          </w:p>
        </w:tc>
        <w:tc>
          <w:tcPr>
            <w:tcW w:w="1001" w:type="dxa"/>
            <w:tcBorders>
              <w:left w:val="single" w:color="auto" w:sz="8" w:space="0"/>
              <w:right w:val="single" w:color="auto" w:sz="8" w:space="0"/>
            </w:tcBorders>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专业英语</w:t>
            </w:r>
          </w:p>
        </w:tc>
        <w:tc>
          <w:tcPr>
            <w:tcW w:w="655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能力目标：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（1）根据掌握的语音知识，能自学单词的发音，并利用单词的发音记忆单词。</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（2）在口语交际及翻译与写作中能正确的应用所学的语法知识，没有严重的语法错误。；</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（3）能基本听懂日常生活用语和与未来职业相关的简单对话；</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（4）能就日常话题和与未来职业相关的话题进行简单的交谈；</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（5）能基本读懂常用应用文及与未来职业相关的浅易英文资料，理解基本正确。</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（6）能就一般性话题写命题作文，能填写和模拟套写常见的简短英语应用文，如表格、简历、通知、信函等。格式恰当，语句基本正确，表达清楚；</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（7）能借助词典将一般性题材的文字材料和与职业相关的一般性业务材料译成汉语。理解基本正确，译文达意，格式恰当。</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知识目标：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（1）掌握3000个英语单词（含在中学阶段已经掌握的词汇）以及由这些词构成的常用词组，对其中2000个积极词汇能在口头和书面表达时加以运用；另需掌握500个与行业相关的英语词汇。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（2）掌握基本的语音知识。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（3）掌握基本的英语语法。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（4）掌握英文材料阅读方法。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（5）掌握基本的翻译和写作技巧。</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素质目标：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（1）具有与人合作，共同完成工作的能力；</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（2）具有独立学习、获取新知识技能的能力；</w:t>
            </w:r>
          </w:p>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（3）具有制定工作计划、独立完成工作任务的能力。</w:t>
            </w:r>
          </w:p>
        </w:tc>
        <w:tc>
          <w:tcPr>
            <w:tcW w:w="2389"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ascii="宋体" w:hAnsi="宋体" w:eastAsia="宋体" w:cs="Times New Roman"/>
                <w:color w:val="000000"/>
                <w:sz w:val="18"/>
                <w:szCs w:val="18"/>
              </w:rPr>
              <w:t>项目</w:t>
            </w:r>
            <w:r>
              <w:rPr>
                <w:rFonts w:hint="eastAsia" w:ascii="宋体" w:hAnsi="宋体" w:eastAsia="宋体" w:cs="Times New Roman"/>
                <w:color w:val="000000"/>
                <w:sz w:val="18"/>
                <w:szCs w:val="18"/>
              </w:rPr>
              <w:t>1Elements and Compounds</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项目</w:t>
            </w:r>
            <w:r>
              <w:rPr>
                <w:rFonts w:hint="eastAsia" w:ascii="宋体" w:hAnsi="宋体" w:eastAsia="宋体" w:cs="Times New Roman"/>
                <w:color w:val="000000"/>
                <w:sz w:val="18"/>
                <w:szCs w:val="18"/>
              </w:rPr>
              <w:t>2 Chemical Reactions</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项目</w:t>
            </w:r>
            <w:r>
              <w:rPr>
                <w:rFonts w:hint="eastAsia" w:ascii="宋体" w:hAnsi="宋体" w:eastAsia="宋体" w:cs="Times New Roman"/>
                <w:color w:val="000000"/>
                <w:sz w:val="18"/>
                <w:szCs w:val="18"/>
              </w:rPr>
              <w:t>3 Heat Exchanger</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项目</w:t>
            </w:r>
            <w:r>
              <w:rPr>
                <w:rFonts w:hint="eastAsia" w:ascii="宋体" w:hAnsi="宋体" w:eastAsia="宋体" w:cs="Times New Roman"/>
                <w:color w:val="000000"/>
                <w:sz w:val="18"/>
                <w:szCs w:val="18"/>
              </w:rPr>
              <w:t>4 Distillation</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项目</w:t>
            </w:r>
            <w:r>
              <w:rPr>
                <w:rFonts w:hint="eastAsia" w:ascii="宋体" w:hAnsi="宋体" w:eastAsia="宋体" w:cs="Times New Roman"/>
                <w:color w:val="000000"/>
                <w:sz w:val="18"/>
                <w:szCs w:val="18"/>
              </w:rPr>
              <w:t xml:space="preserve">5 The Anatomy of a Chemical </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项目</w:t>
            </w:r>
            <w:r>
              <w:rPr>
                <w:rFonts w:hint="eastAsia" w:ascii="宋体" w:hAnsi="宋体" w:eastAsia="宋体" w:cs="Times New Roman"/>
                <w:color w:val="000000"/>
                <w:sz w:val="18"/>
                <w:szCs w:val="18"/>
              </w:rPr>
              <w:t>6 Manufacturing Process</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项目</w:t>
            </w:r>
            <w:r>
              <w:rPr>
                <w:rFonts w:hint="eastAsia" w:ascii="宋体" w:hAnsi="宋体" w:eastAsia="宋体" w:cs="Times New Roman"/>
                <w:color w:val="000000"/>
                <w:sz w:val="18"/>
                <w:szCs w:val="18"/>
              </w:rPr>
              <w:t>7 Sulphuric Acid</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Refining Petroleum</w:t>
            </w:r>
          </w:p>
          <w:p>
            <w:pPr>
              <w:widowControl/>
              <w:rPr>
                <w:rFonts w:hint="eastAsia" w:ascii="宋体" w:hAnsi="宋体" w:eastAsia="宋体" w:cs="Times New Roman"/>
                <w:color w:val="000000"/>
                <w:sz w:val="18"/>
                <w:szCs w:val="18"/>
                <w:lang w:val="en-US" w:eastAsia="zh-CN"/>
              </w:rPr>
            </w:pPr>
            <w:r>
              <w:rPr>
                <w:rFonts w:ascii="宋体" w:hAnsi="宋体" w:eastAsia="宋体" w:cs="Times New Roman"/>
                <w:color w:val="000000"/>
                <w:sz w:val="18"/>
                <w:szCs w:val="18"/>
              </w:rPr>
              <w:t>项目</w:t>
            </w:r>
            <w:r>
              <w:rPr>
                <w:rFonts w:hint="eastAsia" w:ascii="宋体" w:hAnsi="宋体" w:eastAsia="宋体" w:cs="Times New Roman"/>
                <w:color w:val="000000"/>
                <w:sz w:val="18"/>
                <w:szCs w:val="18"/>
              </w:rPr>
              <w:t>8 Surface Active Agents</w:t>
            </w:r>
          </w:p>
        </w:tc>
        <w:tc>
          <w:tcPr>
            <w:tcW w:w="1550" w:type="dxa"/>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围绕学生语言应用能力展开，并以夯实基础为前提，最终达到自主学习英语</w:t>
            </w:r>
          </w:p>
        </w:tc>
        <w:tc>
          <w:tcPr>
            <w:tcW w:w="1984" w:type="dxa"/>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任务型教学法即按场景设置、提出问题、解决问题、检查和评价四个过程完成教学</w:t>
            </w:r>
          </w:p>
        </w:tc>
        <w:tc>
          <w:tcPr>
            <w:tcW w:w="642" w:type="dxa"/>
            <w:tcBorders>
              <w:left w:val="single" w:color="auto" w:sz="8" w:space="0"/>
            </w:tcBorders>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13</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Times New Roman"/>
                <w:color w:val="000000"/>
                <w:sz w:val="18"/>
                <w:szCs w:val="18"/>
                <w:lang w:val="en-US" w:eastAsia="zh-CN"/>
              </w:rPr>
            </w:pPr>
            <w:r>
              <w:rPr>
                <w:rFonts w:ascii="宋体" w:hAnsi="宋体" w:eastAsia="宋体" w:cs="Times New Roman"/>
                <w:color w:val="000000"/>
                <w:sz w:val="18"/>
                <w:szCs w:val="18"/>
              </w:rPr>
              <w:t>食品营养与卫生</w:t>
            </w:r>
          </w:p>
        </w:tc>
        <w:tc>
          <w:tcPr>
            <w:tcW w:w="655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能力目标：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（1）能掌握六大营养素的供给量及食物来源；能对食物中的蛋白质、脂类进行营养评价。</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（2）能计算人体一日能量需要量，并能根据食物摄入情况计算人体能量摄入量。</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（3）能够运用卫生学知识分析食品污染的污染源和污染途径，并掌握预防食品污染的措施。</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（4）能够分辨食物中毒的类型，并能预防食物中毒。</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（5）能够运用营养学有关知识来某一种（或某一类）食物的营养特点。</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（6）能够运用食品卫生学知识分析各类食品的主要卫生问题，并能提出可行的卫生管理措施。</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（7）能用24h回顾法、记账法、称重法进行膳食调查和评价，并能对膳食提出合理改进意见。</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（8）能运用计算法和食物交换份法编制食谱，并能为不同生理状态的人群安排合理的膳食。</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（9）能掌握食品原料及其营养素在烹调中的变化规律及减少食物中营养素损失的保护措施。</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（10）能够运用有关卫生知识分析和解决经营和服务中的食品卫生管理问题。</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知识目标：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（1）理解六大营养素的功能；理解人体能量需要量的计算方法。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（2）掌握食物蛋白质、脂类的营养价值评价方法。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（3）掌握六大营养素的供给量和食物来源。</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（4）了解食品添加剂的种类、用途及相关规定。</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（5）理解各类污染源的性质、特点以及污染食品的途径和渠道。</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（6）掌握食品污染的定义、种类、危害以及食品污染和食物中毒的预防办法。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（7）了解食物的种类及食物营养价值的评定方法。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（8）理解各类食物的营养特点和食疗功效。</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（9）掌握各类食品存在的主要卫生问题和有关卫生管理措施。</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（10）了解人体营养状况的评价方法；了解24h回顾法、记账法、称重法进行膳食调查的方法。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（11）理解不同年龄人群的生理特点、营养需要以及膳食安排。</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（12）掌握合理营养、平衡膳食的基本要求；掌握营养食谱的编制方法。</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（13）理解六大营养素在烹调中的变化规律及烹调过程中各环节对营养素的影响。</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（14）掌握各种食品原料在烹调中的变化规律及减少食品营养素损失的保护措施。</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（15）掌握餐饮环境、餐饮加工及餐饮服务中的卫生管理措施。</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素养目标：</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（1）提高保健意识，养成良好生活和饮食习惯。</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（2）具有良好的思想道德素质和职业素养，初步形成了符合专业特点的职业道德意识和行为习惯。</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（3）具有严谨的工作作风，对技术精益求精，对事业极端负责。 </w:t>
            </w:r>
          </w:p>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（4）具有良好的身心素质和专业技能，能适应社会发展的要求。</w:t>
            </w:r>
          </w:p>
        </w:tc>
        <w:tc>
          <w:tcPr>
            <w:tcW w:w="2389"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项目一 食品营养学基础—人体需要的营养素和能量</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项目二 食品卫生学基础—食品污染与食物中毒</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项目三 各种食物的营养与卫生</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项目四 各类人群的营养与膳食</w:t>
            </w:r>
          </w:p>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项目五 餐饮营养与卫生管理</w:t>
            </w:r>
          </w:p>
        </w:tc>
        <w:tc>
          <w:tcPr>
            <w:tcW w:w="1550" w:type="dxa"/>
            <w:vAlign w:val="center"/>
          </w:tcPr>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培养学生以职业能力为本位，通过专业知识和素质教育相结合，获得现实职业工作场所需要的实践能力；培养学生的语言表达能力、逻辑思维能力、与人合作能力、信息技术使用能力和创新能力；培养学生应用各种工具动手能力的兴趣，加强对学生分析问题、解决问题及创造性思维的能力。</w:t>
            </w:r>
          </w:p>
        </w:tc>
        <w:tc>
          <w:tcPr>
            <w:tcW w:w="1984" w:type="dxa"/>
            <w:vAlign w:val="center"/>
          </w:tcPr>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在教学过程中，对食品营养与卫生的基础知识、学习方法和策略，主要采取讲授法，讲授应深入浅出、理论联系实际，把食品营养与卫生的基本理论传授给学生</w:t>
            </w:r>
          </w:p>
        </w:tc>
        <w:tc>
          <w:tcPr>
            <w:tcW w:w="642" w:type="dxa"/>
            <w:tcBorders>
              <w:left w:val="single" w:color="auto" w:sz="8" w:space="0"/>
            </w:tcBorders>
            <w:vAlign w:val="center"/>
          </w:tcPr>
          <w:p>
            <w:pPr>
              <w:widowControl/>
              <w:rPr>
                <w:rFonts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36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14</w:t>
            </w:r>
          </w:p>
        </w:tc>
        <w:tc>
          <w:tcPr>
            <w:tcW w:w="1001" w:type="dxa"/>
            <w:tcBorders>
              <w:top w:val="single" w:color="auto" w:sz="4" w:space="0"/>
              <w:left w:val="single" w:color="auto" w:sz="4" w:space="0"/>
              <w:bottom w:val="nil"/>
              <w:right w:val="single" w:color="auto" w:sz="4" w:space="0"/>
            </w:tcBorders>
            <w:shd w:val="clear" w:color="auto" w:fill="auto"/>
            <w:vAlign w:val="center"/>
          </w:tcPr>
          <w:p>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化验室组织与管理</w:t>
            </w:r>
          </w:p>
        </w:tc>
        <w:tc>
          <w:tcPr>
            <w:tcW w:w="6551" w:type="dxa"/>
            <w:tcBorders>
              <w:left w:val="single" w:color="auto" w:sz="8" w:space="0"/>
              <w:right w:val="single" w:color="auto" w:sz="4" w:space="0"/>
            </w:tcBorders>
            <w:vAlign w:val="center"/>
          </w:tcPr>
          <w:p>
            <w:pPr>
              <w:widowControl/>
              <w:rPr>
                <w:rFonts w:ascii="宋体" w:hAnsi="宋体" w:eastAsia="宋体" w:cs="Times New Roman"/>
                <w:color w:val="000000"/>
                <w:sz w:val="18"/>
                <w:szCs w:val="18"/>
              </w:rPr>
            </w:pPr>
            <w:r>
              <w:rPr>
                <w:rFonts w:ascii="宋体" w:hAnsi="宋体" w:eastAsia="宋体" w:cs="Times New Roman"/>
                <w:color w:val="000000"/>
                <w:sz w:val="18"/>
                <w:szCs w:val="18"/>
              </w:rPr>
              <w:t>(1)了解实验室质量管理的体系，能熟悉并遵守质量管理规则；</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(2)了解常用的质量管理体系文件的内容，能按质量管理文件开展工作；</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 xml:space="preserve"> (3)了解实验室设施与环境的要求，能遵守5S等管理制度；</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(4)熟悉并遵守测量设备管理要求；</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(5)了解计量溯源管理要求；</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(6)了解证书/报告的管理要求；</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(7)了解实验室内部审核要求，能配合做好相关工作</w:t>
            </w:r>
          </w:p>
        </w:tc>
        <w:tc>
          <w:tcPr>
            <w:tcW w:w="2389" w:type="dxa"/>
            <w:tcBorders>
              <w:left w:val="single" w:color="auto" w:sz="4" w:space="0"/>
              <w:right w:val="single" w:color="auto" w:sz="4" w:space="0"/>
            </w:tcBorders>
            <w:vAlign w:val="center"/>
          </w:tcPr>
          <w:p>
            <w:pPr>
              <w:widowControl/>
              <w:rPr>
                <w:rFonts w:ascii="宋体" w:hAnsi="宋体" w:eastAsia="宋体" w:cs="Times New Roman"/>
                <w:color w:val="000000"/>
                <w:sz w:val="18"/>
                <w:szCs w:val="18"/>
              </w:rPr>
            </w:pPr>
            <w:r>
              <w:rPr>
                <w:rFonts w:ascii="宋体" w:hAnsi="宋体" w:eastAsia="宋体" w:cs="Times New Roman"/>
                <w:color w:val="000000"/>
                <w:sz w:val="18"/>
                <w:szCs w:val="18"/>
              </w:rPr>
              <w:t>(1)实验室质量管理体系构建；</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(2)质量管理体系文件的建立与维护；</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(3)实验室设施与环境条件管理；</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(4)测量设备管理；</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(5)计量溯源管理；</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(6)证书/报告管理；</w:t>
            </w:r>
          </w:p>
          <w:p>
            <w:pPr>
              <w:widowControl/>
              <w:rPr>
                <w:rFonts w:ascii="宋体" w:hAnsi="宋体" w:eastAsia="宋体" w:cs="Times New Roman"/>
                <w:color w:val="000000"/>
                <w:sz w:val="18"/>
                <w:szCs w:val="18"/>
              </w:rPr>
            </w:pPr>
            <w:r>
              <w:rPr>
                <w:rFonts w:ascii="宋体" w:hAnsi="宋体" w:eastAsia="宋体" w:cs="Times New Roman"/>
                <w:color w:val="000000"/>
                <w:sz w:val="18"/>
                <w:szCs w:val="18"/>
              </w:rPr>
              <w:t>(7)实验室内部审核</w:t>
            </w:r>
          </w:p>
        </w:tc>
        <w:tc>
          <w:tcPr>
            <w:tcW w:w="1550" w:type="dxa"/>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1）培养学生具有较强的沟通能力、人际交往能力和团队协精作神；</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2）培养学生自主、开放的学习新知识和新技术的能力；</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3）培养学生独立操作、实事求是、积极进取人生态度；</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4）培养学生遵守职业道德，勇于创新、敬业乐业的工作作风；</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5）培养学生的分析测试全过程质量管理意识；</w:t>
            </w:r>
          </w:p>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6）培养学生实验室安全生产的能力和环境保护意识；</w:t>
            </w:r>
          </w:p>
        </w:tc>
        <w:tc>
          <w:tcPr>
            <w:tcW w:w="1984" w:type="dxa"/>
            <w:vAlign w:val="center"/>
          </w:tcPr>
          <w:p>
            <w:pPr>
              <w:widowControl/>
              <w:rPr>
                <w:rFonts w:ascii="宋体" w:hAnsi="宋体" w:eastAsia="宋体" w:cs="Times New Roman"/>
                <w:color w:val="000000"/>
                <w:sz w:val="18"/>
                <w:szCs w:val="18"/>
              </w:rPr>
            </w:pPr>
            <w:r>
              <w:rPr>
                <w:rFonts w:hint="eastAsia" w:ascii="宋体" w:hAnsi="宋体" w:eastAsia="宋体" w:cs="Times New Roman"/>
                <w:color w:val="000000"/>
                <w:sz w:val="18"/>
                <w:szCs w:val="18"/>
              </w:rPr>
              <w:t>在教学中灵活运用案例教学法、启发引导法、任务教学法、角色情感体验法、</w:t>
            </w:r>
            <w:r>
              <w:rPr>
                <w:rFonts w:ascii="宋体" w:hAnsi="宋体" w:eastAsia="宋体" w:cs="Times New Roman"/>
                <w:color w:val="000000"/>
                <w:sz w:val="18"/>
                <w:szCs w:val="18"/>
              </w:rPr>
              <w:t xml:space="preserve"> 问题发现法、与其他学科知识相联系的方法、分组讨论法 、自学指导法等多种教学方法。</w:t>
            </w:r>
          </w:p>
        </w:tc>
        <w:tc>
          <w:tcPr>
            <w:tcW w:w="642" w:type="dxa"/>
            <w:tcBorders>
              <w:left w:val="single" w:color="auto" w:sz="8" w:space="0"/>
            </w:tcBorders>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44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15</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信息技术在专业中的应用</w:t>
            </w:r>
          </w:p>
        </w:tc>
        <w:tc>
          <w:tcPr>
            <w:tcW w:w="6551" w:type="dxa"/>
            <w:tcBorders>
              <w:left w:val="single" w:color="auto" w:sz="8" w:space="0"/>
              <w:right w:val="single" w:color="auto" w:sz="4" w:space="0"/>
            </w:tcBorders>
            <w:vAlign w:val="center"/>
          </w:tcPr>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 xml:space="preserve">能力目标： </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（1）能通过图书馆馆藏快速准确的找到满足相关条件的文献；</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（2）能在化工网站、数据库中准确的查找出给定条件的文献；</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（3）能从CA中准确查找出给定条件的文摘；</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（4）能从标准文献数据库中找到给定条件的标准；</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（5）能在专利数据库中找到给定条件的专利；</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（6）能加工处理信息。</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 xml:space="preserve">知识目标： </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 xml:space="preserve">（1）了解信息素养的内容，及其国内外的研究现状与进展，以及与本专业的关系； </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（2）熟悉检索原理、检索语言等基础知识，熟悉《中图分类法》，掌握图书馆的利用、常用手工检索刊物及检索方法，熟练掌握常用化工期刊、化工手册、工具书等的使用；</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（3）掌握常用网络信息检索的方法（如化学化工类网络数据库、网站等）；</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（4）了解CA的相关知识、及其检索途径和方法；</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（5）掌握专利和标准的基础知识，掌握专利和标准的检索途径；</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（6）基本掌握筛选、加工、处理信息，创造新信息，掌握科技论文（毕业论文或设计）的写作及格式要求。</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 xml:space="preserve">素质目标： </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 xml:space="preserve">（1）学生从“学会”转向“会学”，在培养学生信息素养的过程中，增强学生信息道德规范，培养更全面的职业素养； </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（2）采用“六步评价法”，使学生正确认识评价自我、对待他人，有一定的自我约束，学会批评与自我批评，具备承受挫折的能力与迎接挑战的意识；</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3）提高学生应变、沟通、交流的能力，培养团队合作精神，增强责任感。解决问题能力：能综合运用所学知识和技能，以高度的责任心和积极探索的态度，创造性地解决生活和工作中面临的新问题，适应未来不断变化的需求。</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（4）能针对事物现状，以创新思维和技法为主要手段，通过提出改进或革新的方案，勇于实践并能调整和评估创新方案，以推动事物不断发展。</w:t>
            </w:r>
          </w:p>
        </w:tc>
        <w:tc>
          <w:tcPr>
            <w:tcW w:w="2389" w:type="dxa"/>
            <w:tcBorders>
              <w:left w:val="single" w:color="auto" w:sz="4" w:space="0"/>
              <w:right w:val="single" w:color="auto" w:sz="4" w:space="0"/>
            </w:tcBorders>
            <w:vAlign w:val="center"/>
          </w:tcPr>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项目一</w:t>
            </w:r>
            <w:r>
              <w:rPr>
                <w:rFonts w:hint="eastAsia" w:ascii="宋体" w:hAnsi="宋体" w:eastAsia="宋体" w:cs="Times New Roman"/>
                <w:color w:val="000000"/>
                <w:sz w:val="18"/>
                <w:szCs w:val="18"/>
                <w:lang w:val="en-US" w:eastAsia="zh-CN"/>
              </w:rPr>
              <w:t xml:space="preserve"> </w:t>
            </w:r>
            <w:r>
              <w:rPr>
                <w:rFonts w:hint="eastAsia" w:ascii="宋体" w:hAnsi="宋体" w:eastAsia="宋体" w:cs="Times New Roman"/>
                <w:color w:val="000000"/>
                <w:sz w:val="18"/>
                <w:szCs w:val="18"/>
              </w:rPr>
              <w:t>丙烯酸生产方法的检索</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项目二</w:t>
            </w:r>
            <w:r>
              <w:rPr>
                <w:rFonts w:hint="eastAsia" w:ascii="宋体" w:hAnsi="宋体" w:eastAsia="宋体" w:cs="Times New Roman"/>
                <w:color w:val="000000"/>
                <w:sz w:val="18"/>
                <w:szCs w:val="18"/>
                <w:lang w:val="en-US" w:eastAsia="zh-CN"/>
              </w:rPr>
              <w:t xml:space="preserve"> </w:t>
            </w:r>
            <w:r>
              <w:rPr>
                <w:rFonts w:hint="eastAsia" w:ascii="宋体" w:hAnsi="宋体" w:eastAsia="宋体" w:cs="Times New Roman"/>
                <w:color w:val="000000"/>
                <w:sz w:val="18"/>
                <w:szCs w:val="18"/>
              </w:rPr>
              <w:t>丙烯酸废水处理技术中文文献的检索</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项目三</w:t>
            </w:r>
            <w:r>
              <w:rPr>
                <w:rFonts w:hint="eastAsia" w:ascii="宋体" w:hAnsi="宋体" w:eastAsia="宋体" w:cs="Times New Roman"/>
                <w:color w:val="000000"/>
                <w:sz w:val="18"/>
                <w:szCs w:val="18"/>
                <w:lang w:val="en-US" w:eastAsia="zh-CN"/>
              </w:rPr>
              <w:t xml:space="preserve"> </w:t>
            </w:r>
            <w:r>
              <w:rPr>
                <w:rFonts w:hint="eastAsia" w:ascii="宋体" w:hAnsi="宋体" w:eastAsia="宋体" w:cs="Times New Roman"/>
                <w:color w:val="000000"/>
                <w:sz w:val="18"/>
                <w:szCs w:val="18"/>
              </w:rPr>
              <w:t>毕业论文（毕业设计）的写作及格式要求</w:t>
            </w:r>
          </w:p>
        </w:tc>
        <w:tc>
          <w:tcPr>
            <w:tcW w:w="1550" w:type="dxa"/>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强调学生树立工程概念，特别是大化工观点的认知，强化动手操作技能训练和解决问题的能力，为今后实际工作打下一定的专业基础</w:t>
            </w:r>
          </w:p>
        </w:tc>
        <w:tc>
          <w:tcPr>
            <w:tcW w:w="1984" w:type="dxa"/>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教学内容采用案例教学，实际项目任务分解的方式行进，扩散思维、创造性思维</w:t>
            </w:r>
          </w:p>
        </w:tc>
        <w:tc>
          <w:tcPr>
            <w:tcW w:w="642" w:type="dxa"/>
            <w:tcBorders>
              <w:left w:val="single" w:color="auto" w:sz="8" w:space="0"/>
            </w:tcBorders>
            <w:vAlign w:val="center"/>
          </w:tcPr>
          <w:p>
            <w:pPr>
              <w:widowControl/>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36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 w:hRule="atLeast"/>
          <w:jc w:val="center"/>
        </w:trPr>
        <w:tc>
          <w:tcPr>
            <w:tcW w:w="710" w:type="dxa"/>
            <w:vAlign w:val="center"/>
          </w:tcPr>
          <w:p>
            <w:pPr>
              <w:widowControl/>
              <w:jc w:val="center"/>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16</w:t>
            </w:r>
          </w:p>
        </w:tc>
        <w:tc>
          <w:tcPr>
            <w:tcW w:w="10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生物化学</w:t>
            </w:r>
          </w:p>
        </w:tc>
        <w:tc>
          <w:tcPr>
            <w:tcW w:w="6551" w:type="dxa"/>
            <w:tcBorders>
              <w:left w:val="single" w:color="auto" w:sz="8" w:space="0"/>
              <w:right w:val="single" w:color="auto" w:sz="4" w:space="0"/>
            </w:tcBorders>
            <w:vAlign w:val="center"/>
          </w:tcPr>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能力目标</w:t>
            </w:r>
            <w:r>
              <w:rPr>
                <w:rFonts w:hint="eastAsia" w:ascii="宋体" w:hAnsi="宋体" w:eastAsia="宋体" w:cs="Times New Roman"/>
                <w:color w:val="000000"/>
                <w:sz w:val="18"/>
                <w:szCs w:val="18"/>
                <w:lang w:eastAsia="zh-CN"/>
              </w:rPr>
              <w:t>：</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lang w:val="en-US" w:eastAsia="zh-CN"/>
              </w:rPr>
              <w:t>1</w:t>
            </w: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rPr>
              <w:t>能灵活运用生化知识在分子水平上探讨病因、阐明发病机理及制定疾病防治措施。</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lang w:val="en-US" w:eastAsia="zh-CN"/>
              </w:rPr>
              <w:t>2</w:t>
            </w: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rPr>
              <w:t>能熟练掌握实验室的基本知识和常用临床生化项目的操作原理、方法、注意事项及其对临床疾病诊断的意义，为后续医学检验专业课的学习及医学检验技术的操作奠定良好的基础。</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知识目标</w:t>
            </w:r>
            <w:r>
              <w:rPr>
                <w:rFonts w:hint="eastAsia" w:ascii="宋体" w:hAnsi="宋体" w:eastAsia="宋体" w:cs="Times New Roman"/>
                <w:color w:val="000000"/>
                <w:sz w:val="18"/>
                <w:szCs w:val="18"/>
                <w:lang w:eastAsia="zh-CN"/>
              </w:rPr>
              <w:t>：</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系统掌握人体的物质组成、正常的物质代谢和基因信息传递的过程、特点及其临床意义。</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lang w:val="en-US" w:eastAsia="zh-CN"/>
              </w:rPr>
              <w:t>2</w:t>
            </w: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rPr>
              <w:t>熟悉生物化学的基本概念。</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lang w:val="en-US" w:eastAsia="zh-CN"/>
              </w:rPr>
              <w:t>3</w:t>
            </w: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rPr>
              <w:t>了解营养物质的消化吸收。</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素质目标</w:t>
            </w:r>
            <w:r>
              <w:rPr>
                <w:rFonts w:hint="eastAsia" w:ascii="宋体" w:hAnsi="宋体" w:eastAsia="宋体" w:cs="Times New Roman"/>
                <w:color w:val="000000"/>
                <w:sz w:val="18"/>
                <w:szCs w:val="18"/>
                <w:lang w:eastAsia="zh-CN"/>
              </w:rPr>
              <w:t>：</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注重职业素质教育，培养学生良好的职业道德。</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培养学生实事求是的科学态度。</w:t>
            </w:r>
          </w:p>
          <w:p>
            <w:pPr>
              <w:widowControl/>
              <w:rPr>
                <w:rFonts w:hint="eastAsia" w:ascii="宋体" w:hAnsi="宋体" w:eastAsia="宋体" w:cs="Times New Roman"/>
                <w:color w:val="000000"/>
                <w:sz w:val="18"/>
                <w:szCs w:val="18"/>
              </w:rPr>
            </w:pP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lang w:val="en-US" w:eastAsia="zh-CN"/>
              </w:rPr>
              <w:t>3</w:t>
            </w: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rPr>
              <w:t>提高分析问题和解决问题的能力。</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lang w:val="en-US" w:eastAsia="zh-CN"/>
              </w:rPr>
              <w:t>4</w:t>
            </w:r>
            <w:r>
              <w:rPr>
                <w:rFonts w:hint="eastAsia" w:ascii="宋体" w:hAnsi="宋体" w:eastAsia="宋体" w:cs="Times New Roman"/>
                <w:color w:val="000000"/>
                <w:sz w:val="18"/>
                <w:szCs w:val="18"/>
                <w:lang w:eastAsia="zh-CN"/>
              </w:rPr>
              <w:t>）</w:t>
            </w:r>
            <w:r>
              <w:rPr>
                <w:rFonts w:hint="eastAsia" w:ascii="宋体" w:hAnsi="宋体" w:eastAsia="宋体" w:cs="Times New Roman"/>
                <w:color w:val="000000"/>
                <w:sz w:val="18"/>
                <w:szCs w:val="18"/>
              </w:rPr>
              <w:t>培养学生与人沟通、团结协作的整体观念。</w:t>
            </w:r>
          </w:p>
        </w:tc>
        <w:tc>
          <w:tcPr>
            <w:tcW w:w="2389" w:type="dxa"/>
            <w:tcBorders>
              <w:left w:val="single" w:color="auto" w:sz="4" w:space="0"/>
              <w:right w:val="single" w:color="auto" w:sz="4" w:space="0"/>
            </w:tcBorders>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项目一 生物化学绪论</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项目二 蛋白质结构与功能</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项目三</w:t>
            </w:r>
            <w:r>
              <w:rPr>
                <w:rFonts w:hint="eastAsia" w:ascii="宋体" w:hAnsi="宋体" w:eastAsia="宋体" w:cs="Times New Roman"/>
                <w:color w:val="000000"/>
                <w:sz w:val="18"/>
                <w:szCs w:val="18"/>
                <w:lang w:val="en-US" w:eastAsia="zh-CN"/>
              </w:rPr>
              <w:t xml:space="preserve"> 酶</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w:t>
            </w:r>
            <w:r>
              <w:rPr>
                <w:rFonts w:hint="eastAsia" w:ascii="宋体" w:hAnsi="宋体" w:eastAsia="宋体" w:cs="Times New Roman"/>
                <w:color w:val="000000"/>
                <w:sz w:val="18"/>
                <w:szCs w:val="18"/>
                <w:lang w:val="en-US" w:eastAsia="zh-CN"/>
              </w:rPr>
              <w:t>四 生物氧化</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w:t>
            </w:r>
            <w:r>
              <w:rPr>
                <w:rFonts w:hint="eastAsia" w:ascii="宋体" w:hAnsi="宋体" w:eastAsia="宋体" w:cs="Times New Roman"/>
                <w:color w:val="000000"/>
                <w:sz w:val="18"/>
                <w:szCs w:val="18"/>
                <w:lang w:val="en-US" w:eastAsia="zh-CN"/>
              </w:rPr>
              <w:t>五 糖代谢</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w:t>
            </w:r>
            <w:r>
              <w:rPr>
                <w:rFonts w:hint="eastAsia" w:ascii="宋体" w:hAnsi="宋体" w:eastAsia="宋体" w:cs="Times New Roman"/>
                <w:color w:val="000000"/>
                <w:sz w:val="18"/>
                <w:szCs w:val="18"/>
                <w:lang w:val="en-US" w:eastAsia="zh-CN"/>
              </w:rPr>
              <w:t>六 脂类代谢</w:t>
            </w:r>
          </w:p>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w:t>
            </w:r>
            <w:r>
              <w:rPr>
                <w:rFonts w:hint="eastAsia" w:ascii="宋体" w:hAnsi="宋体" w:eastAsia="宋体" w:cs="Times New Roman"/>
                <w:color w:val="000000"/>
                <w:sz w:val="18"/>
                <w:szCs w:val="18"/>
                <w:lang w:val="en-US" w:eastAsia="zh-CN"/>
              </w:rPr>
              <w:t>七 蛋白质分解代谢</w:t>
            </w:r>
          </w:p>
          <w:p>
            <w:pPr>
              <w:widowControl/>
              <w:rPr>
                <w:rFonts w:hint="default" w:ascii="宋体" w:hAnsi="宋体" w:eastAsia="宋体" w:cs="Times New Roman"/>
                <w:color w:val="000000"/>
                <w:sz w:val="18"/>
                <w:szCs w:val="18"/>
                <w:lang w:val="en-US" w:eastAsia="zh-CN"/>
              </w:rPr>
            </w:pPr>
          </w:p>
          <w:p>
            <w:pPr>
              <w:widowControl/>
              <w:rPr>
                <w:rFonts w:hint="eastAsia" w:ascii="宋体" w:hAnsi="宋体" w:eastAsia="宋体" w:cs="Times New Roman"/>
                <w:color w:val="000000"/>
                <w:sz w:val="18"/>
                <w:szCs w:val="18"/>
                <w:lang w:val="en-US" w:eastAsia="zh-CN"/>
              </w:rPr>
            </w:pPr>
          </w:p>
        </w:tc>
        <w:tc>
          <w:tcPr>
            <w:tcW w:w="1550" w:type="dxa"/>
            <w:vAlign w:val="center"/>
          </w:tcPr>
          <w:p>
            <w:pPr>
              <w:widowControl/>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eastAsia="zh-CN"/>
              </w:rPr>
              <w:t>培养学生实事求是、严肃认真的科学态度和优良作风等职业道德和素养。</w:t>
            </w:r>
          </w:p>
        </w:tc>
        <w:tc>
          <w:tcPr>
            <w:tcW w:w="1984" w:type="dxa"/>
            <w:vAlign w:val="center"/>
          </w:tcPr>
          <w:p>
            <w:pPr>
              <w:widowControl/>
              <w:rPr>
                <w:rFonts w:hint="eastAsia" w:ascii="宋体" w:hAnsi="宋体" w:eastAsia="宋体" w:cs="Times New Roman"/>
                <w:color w:val="000000"/>
                <w:sz w:val="18"/>
                <w:szCs w:val="18"/>
                <w:lang w:val="en-US" w:eastAsia="zh-CN"/>
              </w:rPr>
            </w:pPr>
            <w:r>
              <w:rPr>
                <w:rFonts w:ascii="宋体" w:hAnsi="宋体" w:eastAsia="宋体" w:cs="Times New Roman"/>
                <w:color w:val="000000"/>
                <w:sz w:val="18"/>
                <w:szCs w:val="18"/>
              </w:rPr>
              <w:t>采用课堂讲授、典型案例分析</w:t>
            </w:r>
            <w:r>
              <w:rPr>
                <w:rFonts w:hint="eastAsia" w:ascii="宋体" w:hAnsi="宋体" w:eastAsia="宋体" w:cs="Times New Roman"/>
                <w:color w:val="000000"/>
                <w:sz w:val="18"/>
                <w:szCs w:val="18"/>
                <w:lang w:eastAsia="zh-CN"/>
              </w:rPr>
              <w:t>。</w:t>
            </w:r>
          </w:p>
        </w:tc>
        <w:tc>
          <w:tcPr>
            <w:tcW w:w="642" w:type="dxa"/>
            <w:tcBorders>
              <w:left w:val="single" w:color="auto" w:sz="8" w:space="0"/>
            </w:tcBorders>
            <w:vAlign w:val="center"/>
          </w:tcPr>
          <w:p>
            <w:pPr>
              <w:widowControl/>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36</w:t>
            </w:r>
          </w:p>
        </w:tc>
      </w:tr>
    </w:tbl>
    <w:p>
      <w:pPr>
        <w:spacing w:line="460" w:lineRule="exact"/>
        <w:ind w:firstLine="482" w:firstLineChars="200"/>
        <w:rPr>
          <w:rFonts w:ascii="Times New Roman" w:hAnsi="Times New Roman" w:eastAsia="宋体" w:cs="Times New Roman"/>
          <w:b/>
          <w:bCs/>
          <w:sz w:val="24"/>
          <w:szCs w:val="24"/>
        </w:rPr>
      </w:pPr>
    </w:p>
    <w:p>
      <w:pPr>
        <w:spacing w:line="460" w:lineRule="exact"/>
        <w:ind w:firstLine="482" w:firstLineChars="200"/>
        <w:rPr>
          <w:rFonts w:ascii="Times New Roman" w:hAnsi="Times New Roman" w:eastAsia="宋体" w:cs="Times New Roman"/>
          <w:b/>
          <w:bCs/>
          <w:sz w:val="24"/>
          <w:szCs w:val="24"/>
        </w:rPr>
      </w:pPr>
    </w:p>
    <w:p>
      <w:pPr>
        <w:spacing w:line="460" w:lineRule="exact"/>
        <w:ind w:firstLine="482" w:firstLineChars="200"/>
        <w:rPr>
          <w:rFonts w:ascii="Times New Roman" w:hAnsi="Times New Roman" w:eastAsia="宋体" w:cs="Times New Roman"/>
          <w:b/>
          <w:bCs/>
          <w:sz w:val="24"/>
          <w:szCs w:val="24"/>
        </w:rPr>
      </w:pPr>
    </w:p>
    <w:p>
      <w:pPr>
        <w:spacing w:line="460" w:lineRule="exact"/>
        <w:ind w:firstLine="482" w:firstLineChars="200"/>
        <w:rPr>
          <w:rFonts w:ascii="Times New Roman" w:hAnsi="Times New Roman" w:eastAsia="宋体" w:cs="Times New Roman"/>
          <w:b/>
          <w:bCs/>
          <w:sz w:val="24"/>
          <w:szCs w:val="24"/>
        </w:rPr>
      </w:pPr>
    </w:p>
    <w:p>
      <w:pPr>
        <w:spacing w:line="460" w:lineRule="exact"/>
        <w:ind w:firstLine="482" w:firstLineChars="200"/>
        <w:rPr>
          <w:rFonts w:ascii="Times New Roman" w:hAnsi="Times New Roman" w:eastAsia="宋体" w:cs="Times New Roman"/>
          <w:b/>
          <w:bCs/>
          <w:sz w:val="24"/>
          <w:szCs w:val="24"/>
        </w:rPr>
      </w:pPr>
    </w:p>
    <w:p>
      <w:pPr>
        <w:spacing w:line="460" w:lineRule="exact"/>
        <w:ind w:firstLine="482" w:firstLineChars="200"/>
        <w:rPr>
          <w:rFonts w:ascii="Times New Roman" w:hAnsi="Times New Roman" w:eastAsia="宋体" w:cs="Times New Roman"/>
          <w:b/>
          <w:bCs/>
          <w:sz w:val="24"/>
          <w:szCs w:val="24"/>
        </w:rPr>
      </w:pPr>
    </w:p>
    <w:p>
      <w:pPr>
        <w:spacing w:line="460" w:lineRule="exact"/>
        <w:ind w:firstLine="482" w:firstLineChars="200"/>
        <w:rPr>
          <w:rFonts w:ascii="Times New Roman" w:hAnsi="Times New Roman" w:eastAsia="宋体" w:cs="Times New Roman"/>
          <w:b/>
          <w:bCs/>
          <w:sz w:val="24"/>
          <w:szCs w:val="24"/>
        </w:rPr>
      </w:pPr>
    </w:p>
    <w:p>
      <w:pPr>
        <w:spacing w:line="460" w:lineRule="exact"/>
        <w:ind w:firstLine="482" w:firstLineChars="200"/>
        <w:rPr>
          <w:rFonts w:ascii="Times New Roman" w:hAnsi="Times New Roman" w:eastAsia="宋体" w:cs="Times New Roman"/>
          <w:b/>
          <w:bCs/>
          <w:sz w:val="24"/>
          <w:szCs w:val="24"/>
        </w:rPr>
      </w:pPr>
    </w:p>
    <w:p>
      <w:pPr>
        <w:spacing w:line="460" w:lineRule="exact"/>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5、集中实践性教学课程</w:t>
      </w:r>
    </w:p>
    <w:tbl>
      <w:tblPr>
        <w:tblStyle w:val="23"/>
        <w:tblW w:w="1492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5"/>
        <w:gridCol w:w="1551"/>
        <w:gridCol w:w="620"/>
        <w:gridCol w:w="560"/>
        <w:gridCol w:w="2711"/>
        <w:gridCol w:w="642"/>
        <w:gridCol w:w="2598"/>
        <w:gridCol w:w="1860"/>
        <w:gridCol w:w="1240"/>
        <w:gridCol w:w="1074"/>
        <w:gridCol w:w="135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tblHeader/>
          <w:jc w:val="center"/>
        </w:trPr>
        <w:tc>
          <w:tcPr>
            <w:tcW w:w="715"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序号</w:t>
            </w:r>
          </w:p>
        </w:tc>
        <w:tc>
          <w:tcPr>
            <w:tcW w:w="1551"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集中实践性教学课程名称</w:t>
            </w:r>
          </w:p>
        </w:tc>
        <w:tc>
          <w:tcPr>
            <w:tcW w:w="62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学期</w:t>
            </w:r>
          </w:p>
        </w:tc>
        <w:tc>
          <w:tcPr>
            <w:tcW w:w="56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周数</w:t>
            </w:r>
          </w:p>
        </w:tc>
        <w:tc>
          <w:tcPr>
            <w:tcW w:w="2711"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技能实训主要内容</w:t>
            </w:r>
          </w:p>
        </w:tc>
        <w:tc>
          <w:tcPr>
            <w:tcW w:w="642"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实训形式</w:t>
            </w:r>
          </w:p>
        </w:tc>
        <w:tc>
          <w:tcPr>
            <w:tcW w:w="2598"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主要技能要求（或标准）</w:t>
            </w:r>
          </w:p>
        </w:tc>
        <w:tc>
          <w:tcPr>
            <w:tcW w:w="186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实践育人融合点</w:t>
            </w:r>
          </w:p>
        </w:tc>
        <w:tc>
          <w:tcPr>
            <w:tcW w:w="124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实训地点</w:t>
            </w:r>
          </w:p>
        </w:tc>
        <w:tc>
          <w:tcPr>
            <w:tcW w:w="1074"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考核方式</w:t>
            </w:r>
          </w:p>
        </w:tc>
        <w:tc>
          <w:tcPr>
            <w:tcW w:w="1353"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条件要求及保障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75" w:hRule="atLeast"/>
          <w:jc w:val="center"/>
        </w:trPr>
        <w:tc>
          <w:tcPr>
            <w:tcW w:w="715"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1</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Times New Roman"/>
                <w:color w:val="000000"/>
                <w:kern w:val="0"/>
                <w:sz w:val="18"/>
                <w:szCs w:val="18"/>
              </w:rPr>
            </w:pPr>
            <w:r>
              <w:rPr>
                <w:rFonts w:hint="eastAsia" w:ascii="宋体" w:hAnsi="宋体" w:eastAsia="宋体" w:cs="Times New Roman"/>
                <w:color w:val="000000"/>
                <w:sz w:val="18"/>
                <w:szCs w:val="18"/>
              </w:rPr>
              <w:t>基础化学综合实训</w:t>
            </w:r>
          </w:p>
        </w:tc>
        <w:tc>
          <w:tcPr>
            <w:tcW w:w="62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1\2</w:t>
            </w:r>
          </w:p>
        </w:tc>
        <w:tc>
          <w:tcPr>
            <w:tcW w:w="56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4周</w:t>
            </w:r>
          </w:p>
        </w:tc>
        <w:tc>
          <w:tcPr>
            <w:tcW w:w="2711" w:type="dxa"/>
            <w:vAlign w:val="center"/>
          </w:tcPr>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1.基础化学实验基础知识</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2.常见玻璃仪器的洗涤</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3.溶液的配制</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4.天平的称量练习</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5.滴定管基本操作</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6标准溶液的标定</w:t>
            </w:r>
          </w:p>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7.</w:t>
            </w:r>
            <w:r>
              <w:rPr>
                <w:rFonts w:hint="eastAsia" w:ascii="宋体" w:hAnsi="宋体" w:eastAsia="宋体" w:cs="Times New Roman"/>
                <w:color w:val="000000"/>
                <w:sz w:val="18"/>
                <w:szCs w:val="18"/>
              </w:rPr>
              <w:t>食盐的重结晶提纯</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8.熔点的测定</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9.蒸馏及沸点的测定</w:t>
            </w:r>
          </w:p>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10.1-溴丁烷的制备</w:t>
            </w:r>
          </w:p>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11.</w:t>
            </w:r>
            <w:r>
              <w:rPr>
                <w:rFonts w:hint="eastAsia" w:ascii="宋体" w:hAnsi="宋体" w:eastAsia="宋体" w:cs="Times New Roman"/>
                <w:color w:val="000000"/>
                <w:sz w:val="18"/>
                <w:szCs w:val="18"/>
              </w:rPr>
              <w:t>乙酸乙酯的制备</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12.从茶叶中提取咖啡碱</w:t>
            </w:r>
          </w:p>
        </w:tc>
        <w:tc>
          <w:tcPr>
            <w:tcW w:w="642"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校内模拟实操</w:t>
            </w:r>
          </w:p>
        </w:tc>
        <w:tc>
          <w:tcPr>
            <w:tcW w:w="2598" w:type="dxa"/>
            <w:vAlign w:val="center"/>
          </w:tcPr>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1.了解制取晶体和用重结晶法提纯晶体的过程</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2.了解测定晶体里结晶水含量的方法；了解灼烧的技能</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3.通过制备实验，进一步了解分离与提纯化合物最常用和最简单的一些方法。</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4、了解无机物制备的投料、产量、产率的有关计算。</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 xml:space="preserve">5.掌握水浴加热、倾析法、抽滤等操作。 </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6.掌握称量，溶解，过滤，蒸发，结晶和干燥的基本操作。</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7.掌握溶液的配制。</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 xml:space="preserve">8学生综合运用有机化学实验技能；熟练掌握：回流、蒸馏、萃取分离、过滤、洗涤、干燥、结晶、低温操作等各项实验操作技术； </w:t>
            </w:r>
          </w:p>
        </w:tc>
        <w:tc>
          <w:tcPr>
            <w:tcW w:w="186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通过实验，达</w:t>
            </w:r>
            <w:r>
              <w:rPr>
                <w:rFonts w:hint="eastAsia" w:ascii="宋体" w:hAnsi="宋体" w:eastAsia="宋体" w:cs="Times New Roman"/>
                <w:color w:val="000000"/>
                <w:sz w:val="18"/>
                <w:szCs w:val="18"/>
              </w:rPr>
              <w:t>初步具有独立完成从原料的准备到合成有机物产品全过程实验的基本能力。巩固并促进学生理论联系实践，从而拓宽知识视野，提高动手能力</w:t>
            </w:r>
            <w:r>
              <w:rPr>
                <w:rFonts w:ascii="宋体" w:hAnsi="宋体" w:eastAsia="宋体" w:cs="Times New Roman"/>
                <w:color w:val="000000"/>
                <w:sz w:val="18"/>
                <w:szCs w:val="18"/>
              </w:rPr>
              <w:t>，</w:t>
            </w:r>
            <w:r>
              <w:rPr>
                <w:rFonts w:hint="eastAsia" w:ascii="宋体" w:hAnsi="宋体" w:eastAsia="宋体" w:cs="Times New Roman"/>
                <w:color w:val="000000"/>
                <w:sz w:val="18"/>
                <w:szCs w:val="18"/>
              </w:rPr>
              <w:t>为后续专业实验课程和将来从事化工行业操作奠定良好基础。</w:t>
            </w:r>
            <w:r>
              <w:rPr>
                <w:rFonts w:ascii="宋体" w:hAnsi="宋体" w:eastAsia="宋体" w:cs="Times New Roman"/>
                <w:color w:val="000000"/>
                <w:sz w:val="18"/>
                <w:szCs w:val="18"/>
              </w:rPr>
              <w:t>同时提升团队协作能力以及发现问题，处理问题的能力</w:t>
            </w:r>
          </w:p>
        </w:tc>
        <w:tc>
          <w:tcPr>
            <w:tcW w:w="124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院内实训基地：基础化学实训室</w:t>
            </w:r>
          </w:p>
        </w:tc>
        <w:tc>
          <w:tcPr>
            <w:tcW w:w="1074"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过程考核</w:t>
            </w:r>
          </w:p>
        </w:tc>
        <w:tc>
          <w:tcPr>
            <w:tcW w:w="1353" w:type="dxa"/>
            <w:vAlign w:val="center"/>
          </w:tcPr>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实验操作台</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超级恒温水浴</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高级封闭式电炉</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恒温水浴锅</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循环水真空泵</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托盘天平</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磁力搅拌器</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电动搅拌器</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电热套</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离心机</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超声波清洗器</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配套玻璃仪器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val="en-US" w:eastAsia="zh-CN"/>
              </w:rPr>
              <w:t>2</w:t>
            </w:r>
          </w:p>
        </w:tc>
        <w:tc>
          <w:tcPr>
            <w:tcW w:w="1551" w:type="dxa"/>
            <w:tcBorders>
              <w:top w:val="nil"/>
              <w:left w:val="single" w:color="auto" w:sz="4" w:space="0"/>
              <w:bottom w:val="single" w:color="auto" w:sz="4" w:space="0"/>
              <w:right w:val="single" w:color="auto" w:sz="4" w:space="0"/>
            </w:tcBorders>
            <w:shd w:val="clear" w:color="auto" w:fill="auto"/>
            <w:vAlign w:val="center"/>
          </w:tcPr>
          <w:p>
            <w:pPr>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化学分析技能实训</w:t>
            </w:r>
          </w:p>
        </w:tc>
        <w:tc>
          <w:tcPr>
            <w:tcW w:w="62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3\7</w:t>
            </w:r>
          </w:p>
        </w:tc>
        <w:tc>
          <w:tcPr>
            <w:tcW w:w="56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2周</w:t>
            </w:r>
          </w:p>
        </w:tc>
        <w:tc>
          <w:tcPr>
            <w:tcW w:w="2711" w:type="dxa"/>
            <w:vAlign w:val="center"/>
          </w:tcPr>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1.标准溶液的配制与标定</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2.混合碱含量的测定（双指示剂法）</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3.高锰酸钾标准溶液浓度的标定</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4双氧水含量的测定</w:t>
            </w:r>
          </w:p>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5.EDTA标准溶液的配制和标定、</w:t>
            </w:r>
            <w:r>
              <w:rPr>
                <w:rFonts w:hint="eastAsia" w:ascii="宋体" w:hAnsi="宋体" w:eastAsia="宋体" w:cs="Times New Roman"/>
                <w:color w:val="000000"/>
                <w:sz w:val="18"/>
                <w:szCs w:val="18"/>
              </w:rPr>
              <w:t>样品中</w:t>
            </w:r>
            <w:r>
              <w:rPr>
                <w:rFonts w:ascii="宋体" w:hAnsi="宋体" w:eastAsia="宋体" w:cs="Times New Roman"/>
                <w:color w:val="000000"/>
                <w:sz w:val="18"/>
                <w:szCs w:val="18"/>
              </w:rPr>
              <w:t>Ca含量的测定</w:t>
            </w:r>
          </w:p>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6.AgNO3标准溶液标定、</w:t>
            </w:r>
            <w:r>
              <w:rPr>
                <w:rFonts w:hint="eastAsia" w:ascii="宋体" w:hAnsi="宋体" w:eastAsia="宋体" w:cs="Times New Roman"/>
                <w:color w:val="000000"/>
                <w:sz w:val="18"/>
                <w:szCs w:val="18"/>
              </w:rPr>
              <w:t>食盐中</w:t>
            </w:r>
            <w:r>
              <w:rPr>
                <w:rFonts w:ascii="宋体" w:hAnsi="宋体" w:eastAsia="宋体" w:cs="Times New Roman"/>
                <w:color w:val="000000"/>
                <w:sz w:val="18"/>
                <w:szCs w:val="18"/>
              </w:rPr>
              <w:t>Cl-含量的测定</w:t>
            </w:r>
          </w:p>
        </w:tc>
        <w:tc>
          <w:tcPr>
            <w:tcW w:w="642"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校内模拟实操</w:t>
            </w:r>
          </w:p>
        </w:tc>
        <w:tc>
          <w:tcPr>
            <w:tcW w:w="2598" w:type="dxa"/>
            <w:vAlign w:val="center"/>
          </w:tcPr>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1.学生熟练掌握分析化学中的四大滴定分析法和称量分析法在化工分析中的实际应用。</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2.综合运用分析化学的基本知识和操作技能完成产品中某个含量的分析。</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3.了解有关技术标准（GB、QB）并具备利用国标技术标准独立制定实验计划、准确测定分析结果，写出完整的检验报告。</w:t>
            </w:r>
          </w:p>
        </w:tc>
        <w:tc>
          <w:tcPr>
            <w:tcW w:w="1860" w:type="dxa"/>
            <w:vAlign w:val="center"/>
          </w:tcPr>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巩固专业思想、培养学生实事求是、严谨细致的科学作风和良好的职业道德。</w:t>
            </w:r>
          </w:p>
        </w:tc>
        <w:tc>
          <w:tcPr>
            <w:tcW w:w="124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院内实训基地：化学分析实训室</w:t>
            </w:r>
          </w:p>
        </w:tc>
        <w:tc>
          <w:tcPr>
            <w:tcW w:w="1074"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过程考核</w:t>
            </w:r>
          </w:p>
        </w:tc>
        <w:tc>
          <w:tcPr>
            <w:tcW w:w="1353" w:type="dxa"/>
            <w:vAlign w:val="center"/>
          </w:tcPr>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实验操作台</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滴定管、移液管、容量瓶等常规滴定分析仪器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val="en-US" w:eastAsia="zh-CN"/>
              </w:rPr>
              <w:t>3</w:t>
            </w:r>
          </w:p>
        </w:tc>
        <w:tc>
          <w:tcPr>
            <w:tcW w:w="1551" w:type="dxa"/>
            <w:tcBorders>
              <w:top w:val="nil"/>
              <w:left w:val="single" w:color="auto" w:sz="4" w:space="0"/>
              <w:bottom w:val="single" w:color="auto" w:sz="4" w:space="0"/>
              <w:right w:val="single" w:color="auto" w:sz="4" w:space="0"/>
            </w:tcBorders>
            <w:shd w:val="clear" w:color="auto" w:fill="auto"/>
            <w:vAlign w:val="center"/>
          </w:tcPr>
          <w:p>
            <w:pPr>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仪器分析技能实训</w:t>
            </w:r>
          </w:p>
        </w:tc>
        <w:tc>
          <w:tcPr>
            <w:tcW w:w="620" w:type="dxa"/>
            <w:vAlign w:val="center"/>
          </w:tcPr>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4\8</w:t>
            </w:r>
          </w:p>
        </w:tc>
        <w:tc>
          <w:tcPr>
            <w:tcW w:w="56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2周</w:t>
            </w:r>
          </w:p>
        </w:tc>
        <w:tc>
          <w:tcPr>
            <w:tcW w:w="2711" w:type="dxa"/>
            <w:vAlign w:val="center"/>
          </w:tcPr>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1.乙酸的电位滴定及其</w:t>
            </w:r>
            <w:r>
              <w:rPr>
                <w:rFonts w:ascii="宋体" w:hAnsi="宋体" w:eastAsia="宋体" w:cs="Times New Roman"/>
                <w:color w:val="000000"/>
                <w:sz w:val="18"/>
                <w:szCs w:val="18"/>
              </w:rPr>
              <w:t>PKa的测定</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2.荧光法测定维生素</w:t>
            </w:r>
            <w:r>
              <w:rPr>
                <w:rFonts w:ascii="宋体" w:hAnsi="宋体" w:eastAsia="宋体" w:cs="Times New Roman"/>
                <w:color w:val="000000"/>
                <w:sz w:val="18"/>
                <w:szCs w:val="18"/>
              </w:rPr>
              <w:t>B2的含量</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3.紫外分光光度法测定有机物的含量</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4.有机化合物的色谱分析</w:t>
            </w:r>
          </w:p>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5.</w:t>
            </w:r>
            <w:r>
              <w:rPr>
                <w:rFonts w:hint="eastAsia" w:ascii="宋体" w:hAnsi="宋体" w:eastAsia="宋体" w:cs="Times New Roman"/>
                <w:color w:val="000000"/>
                <w:sz w:val="18"/>
                <w:szCs w:val="18"/>
              </w:rPr>
              <w:t>高效液相色谱法测定色素（胭脂红、日落黄）含量</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6.原子吸收分光光度法测定金属离子的含量</w:t>
            </w:r>
          </w:p>
        </w:tc>
        <w:tc>
          <w:tcPr>
            <w:tcW w:w="642" w:type="dxa"/>
            <w:vAlign w:val="center"/>
          </w:tcPr>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校内项目实战</w:t>
            </w:r>
          </w:p>
        </w:tc>
        <w:tc>
          <w:tcPr>
            <w:tcW w:w="2598" w:type="dxa"/>
            <w:vAlign w:val="center"/>
          </w:tcPr>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1）知识目标</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①了解常用仪器分析方法的基本原理、方法特点和应用范围。</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②掌握常用分析仪器的基本结构、工作原理、性能指标、操作条件和日常维护保养知识。</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③掌握常用仪器分析法的定性和定量方法。</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2）能力目标</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①能针对不同的分析方法对样品进行前处理。</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②能正确使用分析仪器对样品进行分析检验，能正确分析和处理实验数据，准确表述分析结果。</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③能正确维护保养常用分析仪器及辅助设备，并能排除简单的故障。</w:t>
            </w:r>
          </w:p>
          <w:p>
            <w:pPr>
              <w:widowControl/>
              <w:spacing w:line="0" w:lineRule="atLeast"/>
              <w:jc w:val="left"/>
              <w:rPr>
                <w:rFonts w:ascii="宋体" w:hAnsi="宋体" w:eastAsia="宋体" w:cs="Times New Roman"/>
                <w:color w:val="000000"/>
                <w:sz w:val="18"/>
                <w:szCs w:val="18"/>
              </w:rPr>
            </w:pPr>
            <w:r>
              <w:rPr>
                <w:rFonts w:hint="eastAsia" w:ascii="宋体" w:hAnsi="宋体" w:eastAsia="宋体" w:cs="Times New Roman"/>
                <w:color w:val="000000"/>
                <w:sz w:val="18"/>
                <w:szCs w:val="18"/>
              </w:rPr>
              <w:t>④具有查阅国家标准和其他有关技术资料的初步能力。能按仪器说明书制定仪器操作规程。</w:t>
            </w:r>
          </w:p>
        </w:tc>
        <w:tc>
          <w:tcPr>
            <w:tcW w:w="1860" w:type="dxa"/>
            <w:vAlign w:val="center"/>
          </w:tcPr>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①具备良好的职业道德，树立质量意识和诚信意识；</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②具备良好的职业习惯和规范操作意识；</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③在使用水、电、试剂的过程中，体现经济、安全、环保、成本意识；</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④在使用有毒有害试剂过程中树立安全意识和规范意识；</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⑤分析测试岗位工作过程中，体现责任意识，同时具备团队精神和合作意识；</w:t>
            </w:r>
          </w:p>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⑥坚持以事实为依据的科学精神，进行深入思考与分析，找出原因所在，体现诚信意识和质量意识；</w:t>
            </w:r>
          </w:p>
        </w:tc>
        <w:tc>
          <w:tcPr>
            <w:tcW w:w="124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院内实训基地：仪器分析综合实训室</w:t>
            </w:r>
          </w:p>
        </w:tc>
        <w:tc>
          <w:tcPr>
            <w:tcW w:w="1074"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过程考核</w:t>
            </w:r>
          </w:p>
        </w:tc>
        <w:tc>
          <w:tcPr>
            <w:tcW w:w="1353" w:type="dxa"/>
            <w:vAlign w:val="center"/>
          </w:tcPr>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实验操作台</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酸度计</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可见分光光度计</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紫外分光光度计</w:t>
            </w:r>
          </w:p>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原子吸收分光光度计</w:t>
            </w:r>
          </w:p>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气相色谱仪</w:t>
            </w:r>
          </w:p>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高效液相色谱仪</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val="en-US" w:eastAsia="zh-CN"/>
              </w:rPr>
              <w:t>4</w:t>
            </w:r>
          </w:p>
        </w:tc>
        <w:tc>
          <w:tcPr>
            <w:tcW w:w="1551" w:type="dxa"/>
            <w:tcBorders>
              <w:top w:val="nil"/>
              <w:left w:val="single" w:color="auto" w:sz="4" w:space="0"/>
              <w:bottom w:val="single" w:color="auto" w:sz="4" w:space="0"/>
              <w:right w:val="single" w:color="auto" w:sz="4" w:space="0"/>
            </w:tcBorders>
            <w:shd w:val="clear" w:color="auto" w:fill="auto"/>
            <w:vAlign w:val="center"/>
          </w:tcPr>
          <w:p>
            <w:pPr>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现代仪器分析仿真实训</w:t>
            </w:r>
          </w:p>
        </w:tc>
        <w:tc>
          <w:tcPr>
            <w:tcW w:w="620" w:type="dxa"/>
            <w:vAlign w:val="center"/>
          </w:tcPr>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8</w:t>
            </w:r>
          </w:p>
        </w:tc>
        <w:tc>
          <w:tcPr>
            <w:tcW w:w="56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1</w:t>
            </w:r>
            <w:r>
              <w:rPr>
                <w:rFonts w:hint="eastAsia" w:ascii="宋体" w:hAnsi="宋体" w:eastAsia="宋体" w:cs="Times New Roman"/>
                <w:color w:val="000000"/>
                <w:sz w:val="18"/>
                <w:szCs w:val="18"/>
              </w:rPr>
              <w:t>周</w:t>
            </w:r>
          </w:p>
        </w:tc>
        <w:tc>
          <w:tcPr>
            <w:tcW w:w="2711" w:type="dxa"/>
            <w:vAlign w:val="center"/>
          </w:tcPr>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1 有机化合物紫外红、外光谱的测定</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2.</w:t>
            </w:r>
            <w:r>
              <w:rPr>
                <w:rFonts w:ascii="宋体" w:hAnsi="宋体" w:eastAsia="宋体" w:cs="Times New Roman"/>
                <w:color w:val="000000"/>
                <w:sz w:val="18"/>
                <w:szCs w:val="18"/>
              </w:rPr>
              <w:t>气相色谱仿真实验</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3液相色谱仿真实验</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4.气质联用仿真实验</w:t>
            </w:r>
          </w:p>
          <w:p>
            <w:pPr>
              <w:widowControl/>
              <w:spacing w:line="0" w:lineRule="atLeast"/>
              <w:jc w:val="left"/>
              <w:textAlignment w:val="center"/>
              <w:rPr>
                <w:rFonts w:ascii="宋体" w:hAnsi="宋体" w:eastAsia="宋体" w:cs="Times New Roman"/>
                <w:color w:val="000000"/>
                <w:sz w:val="18"/>
                <w:szCs w:val="18"/>
              </w:rPr>
            </w:pPr>
            <w:r>
              <w:rPr>
                <w:rFonts w:hint="eastAsia" w:ascii="宋体" w:hAnsi="宋体" w:eastAsia="宋体" w:cs="Times New Roman"/>
                <w:color w:val="000000"/>
                <w:sz w:val="18"/>
                <w:szCs w:val="18"/>
              </w:rPr>
              <w:t>5.</w:t>
            </w:r>
            <w:r>
              <w:rPr>
                <w:rFonts w:hint="eastAsia" w:ascii="宋体" w:hAnsi="宋体" w:eastAsia="宋体" w:cs="Times New Roman"/>
                <w:sz w:val="18"/>
                <w:szCs w:val="18"/>
              </w:rPr>
              <w:t>液</w:t>
            </w:r>
            <w:r>
              <w:rPr>
                <w:rFonts w:hint="eastAsia" w:ascii="宋体" w:hAnsi="宋体" w:eastAsia="宋体" w:cs="Times New Roman"/>
                <w:color w:val="000000"/>
                <w:sz w:val="18"/>
                <w:szCs w:val="18"/>
              </w:rPr>
              <w:t>质联用仿真实验</w:t>
            </w:r>
          </w:p>
        </w:tc>
        <w:tc>
          <w:tcPr>
            <w:tcW w:w="642" w:type="dxa"/>
            <w:vAlign w:val="center"/>
          </w:tcPr>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校内模拟实操</w:t>
            </w:r>
          </w:p>
        </w:tc>
        <w:tc>
          <w:tcPr>
            <w:tcW w:w="2598" w:type="dxa"/>
            <w:vAlign w:val="center"/>
          </w:tcPr>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1．了解和掌握各种大型分析仪器在实际生产中的应用，将所学专业知识与生产实践相结合。</w:t>
            </w:r>
          </w:p>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2．掌握仿真模拟训练的各仪器的的构造和操作规程。</w:t>
            </w:r>
          </w:p>
          <w:p>
            <w:pPr>
              <w:widowControl/>
              <w:spacing w:line="0" w:lineRule="atLeast"/>
              <w:jc w:val="left"/>
              <w:textAlignment w:val="center"/>
              <w:rPr>
                <w:rFonts w:ascii="宋体" w:hAnsi="宋体" w:eastAsia="宋体" w:cs="Times New Roman"/>
                <w:color w:val="000000"/>
                <w:sz w:val="18"/>
                <w:szCs w:val="18"/>
              </w:rPr>
            </w:pPr>
            <w:r>
              <w:rPr>
                <w:rFonts w:ascii="宋体" w:hAnsi="宋体" w:eastAsia="宋体" w:cs="Times New Roman"/>
                <w:color w:val="000000"/>
                <w:sz w:val="18"/>
                <w:szCs w:val="18"/>
              </w:rPr>
              <w:t>3. 熟悉有关仪器的结构，学会典型工作任务检测的分析条件及样品处理技术知识。</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 xml:space="preserve">4.记住仪器分析的灵敏、快速、准确的特点和具有广泛应用性的特点，能够使用各方法对样品的要求与样品的处理。 </w:t>
            </w:r>
          </w:p>
          <w:p>
            <w:pPr>
              <w:widowControl/>
              <w:spacing w:line="0" w:lineRule="atLeast"/>
              <w:jc w:val="left"/>
              <w:rPr>
                <w:rFonts w:ascii="宋体" w:hAnsi="宋体" w:eastAsia="宋体" w:cs="Times New Roman"/>
                <w:color w:val="000000"/>
                <w:sz w:val="18"/>
                <w:szCs w:val="18"/>
              </w:rPr>
            </w:pPr>
            <w:r>
              <w:rPr>
                <w:rFonts w:ascii="宋体" w:hAnsi="宋体" w:eastAsia="宋体" w:cs="Times New Roman"/>
                <w:color w:val="000000"/>
                <w:sz w:val="18"/>
                <w:szCs w:val="18"/>
              </w:rPr>
              <w:t>5.</w:t>
            </w:r>
            <w:r>
              <w:rPr>
                <w:rFonts w:hint="eastAsia" w:ascii="宋体" w:hAnsi="宋体" w:eastAsia="宋体" w:cs="Times New Roman"/>
                <w:color w:val="000000"/>
                <w:sz w:val="18"/>
                <w:szCs w:val="18"/>
              </w:rPr>
              <w:t>仿真系统的智能教学功能，对学生的操作过程可进行实时跟踪测评，并指出其操作过程的对、错，提高学生自主学习的能力；</w:t>
            </w:r>
            <w:r>
              <w:rPr>
                <w:rFonts w:ascii="宋体" w:hAnsi="宋体" w:eastAsia="宋体" w:cs="Times New Roman"/>
                <w:color w:val="000000"/>
                <w:sz w:val="18"/>
                <w:szCs w:val="18"/>
              </w:rPr>
              <w:t xml:space="preserve"> 通过学生亲自动手进行反复操作，掌握实际分析中的多项应用技能，提高学生动手能力。</w:t>
            </w:r>
          </w:p>
        </w:tc>
        <w:tc>
          <w:tcPr>
            <w:tcW w:w="1860" w:type="dxa"/>
            <w:vAlign w:val="center"/>
          </w:tcPr>
          <w:p>
            <w:pPr>
              <w:widowControl/>
              <w:spacing w:line="0" w:lineRule="atLeast"/>
              <w:rPr>
                <w:rFonts w:ascii="宋体" w:hAnsi="宋体" w:eastAsia="宋体" w:cs="Times New Roman"/>
                <w:color w:val="000000"/>
                <w:sz w:val="18"/>
                <w:szCs w:val="18"/>
              </w:rPr>
            </w:pPr>
            <w:r>
              <w:rPr>
                <w:rFonts w:hint="eastAsia" w:ascii="宋体" w:hAnsi="宋体" w:eastAsia="宋体" w:cs="Times New Roman"/>
                <w:color w:val="000000"/>
                <w:sz w:val="18"/>
                <w:szCs w:val="18"/>
              </w:rPr>
              <w:t>1.要严格按照操作规程进行仿真模拟训练操作；</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2．在仿真模拟训练中培养严谨、认真、求实的工作作风；</w:t>
            </w:r>
          </w:p>
          <w:p>
            <w:pPr>
              <w:widowControl/>
              <w:spacing w:line="0" w:lineRule="atLeast"/>
              <w:rPr>
                <w:rFonts w:ascii="宋体" w:hAnsi="宋体" w:eastAsia="宋体" w:cs="Times New Roman"/>
                <w:color w:val="000000"/>
                <w:sz w:val="18"/>
                <w:szCs w:val="18"/>
              </w:rPr>
            </w:pPr>
            <w:r>
              <w:rPr>
                <w:rFonts w:ascii="宋体" w:hAnsi="宋体" w:eastAsia="宋体" w:cs="Times New Roman"/>
                <w:color w:val="000000"/>
                <w:sz w:val="18"/>
                <w:szCs w:val="18"/>
              </w:rPr>
              <w:t>3．能根据实际问题，选择合适的检测方法。</w:t>
            </w:r>
          </w:p>
        </w:tc>
        <w:tc>
          <w:tcPr>
            <w:tcW w:w="1240"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院内实训基地：化工仿真实训室</w:t>
            </w:r>
          </w:p>
        </w:tc>
        <w:tc>
          <w:tcPr>
            <w:tcW w:w="1074" w:type="dxa"/>
            <w:vAlign w:val="center"/>
          </w:tcPr>
          <w:p>
            <w:pPr>
              <w:widowControl/>
              <w:spacing w:line="0" w:lineRule="atLeast"/>
              <w:jc w:val="center"/>
              <w:rPr>
                <w:rFonts w:ascii="宋体" w:hAnsi="宋体" w:eastAsia="宋体" w:cs="Times New Roman"/>
                <w:color w:val="000000"/>
                <w:sz w:val="18"/>
                <w:szCs w:val="18"/>
              </w:rPr>
            </w:pPr>
            <w:r>
              <w:rPr>
                <w:rFonts w:ascii="宋体" w:hAnsi="宋体" w:eastAsia="宋体" w:cs="Times New Roman"/>
                <w:color w:val="000000"/>
                <w:sz w:val="18"/>
                <w:szCs w:val="18"/>
              </w:rPr>
              <w:t>过程考核</w:t>
            </w:r>
          </w:p>
        </w:tc>
        <w:tc>
          <w:tcPr>
            <w:tcW w:w="1353" w:type="dxa"/>
            <w:vAlign w:val="center"/>
          </w:tcPr>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计算机</w:t>
            </w:r>
          </w:p>
          <w:p>
            <w:pPr>
              <w:widowControl/>
              <w:spacing w:line="0" w:lineRule="atLeast"/>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大型仪器仿真系统软件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val="en-US" w:eastAsia="zh-CN"/>
              </w:rPr>
              <w:t>5</w:t>
            </w:r>
          </w:p>
        </w:tc>
        <w:tc>
          <w:tcPr>
            <w:tcW w:w="1551" w:type="dxa"/>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企业岗位认识实习</w:t>
            </w:r>
          </w:p>
        </w:tc>
        <w:tc>
          <w:tcPr>
            <w:tcW w:w="620" w:type="dxa"/>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3</w:t>
            </w:r>
          </w:p>
        </w:tc>
        <w:tc>
          <w:tcPr>
            <w:tcW w:w="560" w:type="dxa"/>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1</w:t>
            </w:r>
          </w:p>
        </w:tc>
        <w:tc>
          <w:tcPr>
            <w:tcW w:w="2711" w:type="dxa"/>
            <w:vAlign w:val="center"/>
          </w:tcPr>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第一部分 下厂前准备</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实习带队老师联系实习厂家，确定实习日期，进行学生分组，安排实习。</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第二部分  召开实习动员大会</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动员大会包括以下内容：实习具体安排、实习纪律、实习的工厂简介、安全教育，着装要求等。并要求学生了解将到实习企业的主要情况。</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第三部分  工厂技术人员举行讲座</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由实习单位指派人员向学生介绍实习单位的生产情况及进厂安全教育。</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第四部分  工厂参观实习</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在技术人员和指导老师的带领下，组织对实习单位的个生产车间及生产流程进行参观，参观中应该着重了解产品的生产原理，所采用的工艺方法和生产设备等，并与从课堂和书本上所学的内容进行比较，加深理论的理解和运用，督促学生从实际出发对工厂的现行生产工艺路线提出改进设想和方法。</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第五部分  撰写实习报告</w:t>
            </w:r>
          </w:p>
          <w:p>
            <w:pPr>
              <w:widowControl/>
              <w:spacing w:line="0" w:lineRule="atLeast"/>
              <w:jc w:val="left"/>
              <w:textAlignment w:val="center"/>
              <w:rPr>
                <w:rFonts w:hint="eastAsia" w:ascii="宋体" w:hAnsi="宋体" w:eastAsia="宋体" w:cs="Times New Roman"/>
                <w:color w:val="000000"/>
                <w:sz w:val="16"/>
                <w:szCs w:val="16"/>
              </w:rPr>
            </w:pPr>
            <w:r>
              <w:rPr>
                <w:rFonts w:hint="eastAsia" w:ascii="宋体" w:hAnsi="宋体" w:eastAsia="宋体" w:cs="Times New Roman"/>
                <w:color w:val="000000"/>
                <w:sz w:val="16"/>
                <w:szCs w:val="16"/>
              </w:rPr>
              <w:t>在实习结束时，学生应提交书面的实习报告、实习报告的主要内容有：1）所实习工厂的概况，包括地理位置、人员情况、生产能力、产品的特点及环保情况等，2）说明产品的生产原理，工艺过程，并绘制出工艺流程图。3）实习的认识及感想。</w:t>
            </w:r>
          </w:p>
        </w:tc>
        <w:tc>
          <w:tcPr>
            <w:tcW w:w="642" w:type="dxa"/>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参观</w:t>
            </w:r>
          </w:p>
        </w:tc>
        <w:tc>
          <w:tcPr>
            <w:tcW w:w="2598" w:type="dxa"/>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通过认识实习，了解实习工厂的概貌（主、副产品及用途、生产规模、工艺特点和经济效益等）；掌握实习车间的主要原料和主、副产品的物化性质；掌握实习车间或工段的生产路线，各单元操作过程的基本工作原理和主、副反应过程；了解主要车间的主要设备的结构特点和作用、各种食品药品原材料、半成品、成品得分析检测与品质管理。</w:t>
            </w:r>
          </w:p>
          <w:p>
            <w:pPr>
              <w:widowControl/>
              <w:spacing w:line="0" w:lineRule="atLeast"/>
              <w:jc w:val="left"/>
              <w:textAlignment w:val="center"/>
              <w:rPr>
                <w:rFonts w:hint="eastAsia" w:ascii="宋体" w:hAnsi="宋体" w:eastAsia="宋体" w:cs="Times New Roman"/>
                <w:color w:val="000000"/>
                <w:sz w:val="18"/>
                <w:szCs w:val="18"/>
              </w:rPr>
            </w:pPr>
          </w:p>
        </w:tc>
        <w:tc>
          <w:tcPr>
            <w:tcW w:w="1860" w:type="dxa"/>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通过认识实习，使学生初步了解有关食品药品生产的工艺和主要设备，获得食品药品生产过程的感性认识，为以后学习专业课程打下基础，有利于培养学生理论联系实际的学风和能力。</w:t>
            </w:r>
          </w:p>
        </w:tc>
        <w:tc>
          <w:tcPr>
            <w:tcW w:w="1240" w:type="dxa"/>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院外实训基地</w:t>
            </w:r>
          </w:p>
        </w:tc>
        <w:tc>
          <w:tcPr>
            <w:tcW w:w="1074" w:type="dxa"/>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认识实习中的表现占30%、对认识实习相关知识的掌握程度占30%、认识实习报告的撰写水平占40%等。</w:t>
            </w:r>
          </w:p>
        </w:tc>
        <w:tc>
          <w:tcPr>
            <w:tcW w:w="1353" w:type="dxa"/>
            <w:vAlign w:val="center"/>
          </w:tcPr>
          <w:p>
            <w:pPr>
              <w:widowControl/>
              <w:spacing w:line="0" w:lineRule="atLeast"/>
              <w:jc w:val="left"/>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本专业相关的食品药品企业。校外具有实训条件。二级系院校企合作企业提供保障。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6</w:t>
            </w:r>
          </w:p>
        </w:tc>
        <w:tc>
          <w:tcPr>
            <w:tcW w:w="1551" w:type="dxa"/>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入学教育和军训</w:t>
            </w:r>
          </w:p>
        </w:tc>
        <w:tc>
          <w:tcPr>
            <w:tcW w:w="62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1</w:t>
            </w:r>
          </w:p>
        </w:tc>
        <w:tc>
          <w:tcPr>
            <w:tcW w:w="5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3</w:t>
            </w:r>
          </w:p>
        </w:tc>
        <w:tc>
          <w:tcPr>
            <w:tcW w:w="2711"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学院管理制度和军事队列制式动作的训练</w:t>
            </w:r>
          </w:p>
        </w:tc>
        <w:tc>
          <w:tcPr>
            <w:tcW w:w="642"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军训实操</w:t>
            </w:r>
          </w:p>
        </w:tc>
        <w:tc>
          <w:tcPr>
            <w:tcW w:w="2598"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军事知识和掌握队列制式动作的训练</w:t>
            </w:r>
          </w:p>
        </w:tc>
        <w:tc>
          <w:tcPr>
            <w:tcW w:w="18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励志成才，增强国防意识与集体主义观念</w:t>
            </w:r>
          </w:p>
        </w:tc>
        <w:tc>
          <w:tcPr>
            <w:tcW w:w="124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校内</w:t>
            </w:r>
          </w:p>
        </w:tc>
        <w:tc>
          <w:tcPr>
            <w:tcW w:w="1074"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管理制度考试及军事训练考核</w:t>
            </w:r>
          </w:p>
        </w:tc>
        <w:tc>
          <w:tcPr>
            <w:tcW w:w="1353"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与部队进行协调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7</w:t>
            </w:r>
          </w:p>
        </w:tc>
        <w:tc>
          <w:tcPr>
            <w:tcW w:w="1551" w:type="dxa"/>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专业认知（见习）</w:t>
            </w:r>
          </w:p>
        </w:tc>
        <w:tc>
          <w:tcPr>
            <w:tcW w:w="62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1</w:t>
            </w:r>
          </w:p>
        </w:tc>
        <w:tc>
          <w:tcPr>
            <w:tcW w:w="5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1</w:t>
            </w:r>
          </w:p>
        </w:tc>
        <w:tc>
          <w:tcPr>
            <w:tcW w:w="2711"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企业参观、调研</w:t>
            </w:r>
          </w:p>
        </w:tc>
        <w:tc>
          <w:tcPr>
            <w:tcW w:w="642"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观摩</w:t>
            </w:r>
          </w:p>
        </w:tc>
        <w:tc>
          <w:tcPr>
            <w:tcW w:w="2598"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了解专业概况激发学习兴趣，企业参观后完成小结撰写</w:t>
            </w:r>
          </w:p>
        </w:tc>
        <w:tc>
          <w:tcPr>
            <w:tcW w:w="18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培养学生严谨细心的工作态度</w:t>
            </w:r>
          </w:p>
        </w:tc>
        <w:tc>
          <w:tcPr>
            <w:tcW w:w="124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校内+校外</w:t>
            </w:r>
          </w:p>
        </w:tc>
        <w:tc>
          <w:tcPr>
            <w:tcW w:w="1074"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过程考核（见习报告）</w:t>
            </w:r>
          </w:p>
        </w:tc>
        <w:tc>
          <w:tcPr>
            <w:tcW w:w="1353"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校内实训基地和校外合作企业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8</w:t>
            </w:r>
          </w:p>
        </w:tc>
        <w:tc>
          <w:tcPr>
            <w:tcW w:w="1551" w:type="dxa"/>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社会实践</w:t>
            </w:r>
          </w:p>
        </w:tc>
        <w:tc>
          <w:tcPr>
            <w:tcW w:w="62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2或3</w:t>
            </w:r>
          </w:p>
        </w:tc>
        <w:tc>
          <w:tcPr>
            <w:tcW w:w="5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2</w:t>
            </w:r>
          </w:p>
        </w:tc>
        <w:tc>
          <w:tcPr>
            <w:tcW w:w="2711"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职业素养与综合应用能力</w:t>
            </w:r>
          </w:p>
        </w:tc>
        <w:tc>
          <w:tcPr>
            <w:tcW w:w="642"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校内或校外项目实战</w:t>
            </w:r>
          </w:p>
        </w:tc>
        <w:tc>
          <w:tcPr>
            <w:tcW w:w="2598"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理论联系实际，巩固、深化和扩大已学知识。</w:t>
            </w:r>
          </w:p>
        </w:tc>
        <w:tc>
          <w:tcPr>
            <w:tcW w:w="18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爱岗敬业的工匠精神</w:t>
            </w:r>
          </w:p>
        </w:tc>
        <w:tc>
          <w:tcPr>
            <w:tcW w:w="124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校内或校外</w:t>
            </w:r>
          </w:p>
        </w:tc>
        <w:tc>
          <w:tcPr>
            <w:tcW w:w="1074"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考查</w:t>
            </w:r>
          </w:p>
        </w:tc>
        <w:tc>
          <w:tcPr>
            <w:tcW w:w="1353"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企业或社会岗位实践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9</w:t>
            </w:r>
          </w:p>
        </w:tc>
        <w:tc>
          <w:tcPr>
            <w:tcW w:w="1551" w:type="dxa"/>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textAlignment w:val="center"/>
              <w:rPr>
                <w:rFonts w:hint="eastAsia" w:ascii="宋体" w:hAnsi="宋体" w:eastAsia="宋体" w:cs="Times New Roman"/>
                <w:color w:val="000000"/>
                <w:sz w:val="18"/>
                <w:szCs w:val="18"/>
              </w:rPr>
            </w:pPr>
            <w:r>
              <w:rPr>
                <w:rFonts w:hint="eastAsia" w:ascii="宋体" w:hAnsi="宋体" w:eastAsia="宋体" w:cs="Times New Roman"/>
                <w:color w:val="000000"/>
                <w:sz w:val="18"/>
                <w:szCs w:val="18"/>
              </w:rPr>
              <w:t>毕业设计</w:t>
            </w:r>
          </w:p>
          <w:p>
            <w:pPr>
              <w:widowControl/>
              <w:spacing w:line="0" w:lineRule="atLeast"/>
              <w:jc w:val="center"/>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（毕业论文）</w:t>
            </w:r>
          </w:p>
        </w:tc>
        <w:tc>
          <w:tcPr>
            <w:tcW w:w="62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5</w:t>
            </w:r>
          </w:p>
        </w:tc>
        <w:tc>
          <w:tcPr>
            <w:tcW w:w="5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4</w:t>
            </w:r>
          </w:p>
        </w:tc>
        <w:tc>
          <w:tcPr>
            <w:tcW w:w="2711"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论文写作规范、要求，理论和实践结合</w:t>
            </w:r>
          </w:p>
        </w:tc>
        <w:tc>
          <w:tcPr>
            <w:tcW w:w="642"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项目实战</w:t>
            </w:r>
          </w:p>
        </w:tc>
        <w:tc>
          <w:tcPr>
            <w:tcW w:w="2598"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掌握论文写作要求，能够进行实践应用，做到理论与实际相结合</w:t>
            </w:r>
          </w:p>
        </w:tc>
        <w:tc>
          <w:tcPr>
            <w:tcW w:w="18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培养思想上的自立和独立</w:t>
            </w:r>
          </w:p>
        </w:tc>
        <w:tc>
          <w:tcPr>
            <w:tcW w:w="124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企业</w:t>
            </w:r>
          </w:p>
        </w:tc>
        <w:tc>
          <w:tcPr>
            <w:tcW w:w="1074"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结果考核</w:t>
            </w:r>
          </w:p>
        </w:tc>
        <w:tc>
          <w:tcPr>
            <w:tcW w:w="1353"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配备论文指导教师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10</w:t>
            </w:r>
          </w:p>
        </w:tc>
        <w:tc>
          <w:tcPr>
            <w:tcW w:w="1551" w:type="dxa"/>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劳动实践</w:t>
            </w:r>
          </w:p>
        </w:tc>
        <w:tc>
          <w:tcPr>
            <w:tcW w:w="62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1~5</w:t>
            </w:r>
          </w:p>
        </w:tc>
        <w:tc>
          <w:tcPr>
            <w:tcW w:w="5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0.5</w:t>
            </w:r>
          </w:p>
        </w:tc>
        <w:tc>
          <w:tcPr>
            <w:tcW w:w="2711"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通过校内实验、实训、技能竞赛、校外社会基地等劳动教育，考察学生基本劳动素养，促进学生形成正确的世界观、人生观、价值观。</w:t>
            </w:r>
          </w:p>
        </w:tc>
        <w:tc>
          <w:tcPr>
            <w:tcW w:w="642"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社会实践、劳动周、公益劳动</w:t>
            </w:r>
          </w:p>
        </w:tc>
        <w:tc>
          <w:tcPr>
            <w:tcW w:w="2598"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通过劳动实践学生们在以行为习惯、技能训练为主的实践活动中学会生活、学会劳动、学会审美、学会创造，从而达到磨练意志、培养才干、提高综合素质的目的。</w:t>
            </w:r>
          </w:p>
        </w:tc>
        <w:tc>
          <w:tcPr>
            <w:tcW w:w="18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围绕培养担当民族复兴大任的时代新人开展劳动教育，注重劳动素养发展，培养学生健康人格，促进学生全面发展。</w:t>
            </w:r>
          </w:p>
        </w:tc>
        <w:tc>
          <w:tcPr>
            <w:tcW w:w="124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校内或校外</w:t>
            </w:r>
          </w:p>
        </w:tc>
        <w:tc>
          <w:tcPr>
            <w:tcW w:w="1074"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过程考核</w:t>
            </w:r>
          </w:p>
        </w:tc>
        <w:tc>
          <w:tcPr>
            <w:tcW w:w="1353"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组织做好各种预案和活动场所安排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0" w:hRule="atLeast"/>
          <w:jc w:val="center"/>
        </w:trPr>
        <w:tc>
          <w:tcPr>
            <w:tcW w:w="715" w:type="dxa"/>
            <w:vAlign w:val="center"/>
          </w:tcPr>
          <w:p>
            <w:pPr>
              <w:widowControl/>
              <w:spacing w:line="0" w:lineRule="atLeast"/>
              <w:jc w:val="center"/>
              <w:rPr>
                <w:rFonts w:hint="default" w:ascii="宋体" w:hAnsi="宋体" w:eastAsia="宋体" w:cs="Times New Roman"/>
                <w:color w:val="000000"/>
                <w:sz w:val="18"/>
                <w:szCs w:val="18"/>
                <w:lang w:val="en-US" w:eastAsia="zh-CN"/>
              </w:rPr>
            </w:pPr>
            <w:r>
              <w:rPr>
                <w:rFonts w:hint="eastAsia" w:ascii="宋体" w:hAnsi="宋体" w:eastAsia="宋体" w:cs="Times New Roman"/>
                <w:color w:val="000000"/>
                <w:sz w:val="18"/>
                <w:szCs w:val="18"/>
                <w:lang w:val="en-US" w:eastAsia="zh-CN"/>
              </w:rPr>
              <w:t>11</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毕业教育</w:t>
            </w:r>
          </w:p>
        </w:tc>
        <w:tc>
          <w:tcPr>
            <w:tcW w:w="62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6</w:t>
            </w:r>
          </w:p>
        </w:tc>
        <w:tc>
          <w:tcPr>
            <w:tcW w:w="5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0.5</w:t>
            </w:r>
          </w:p>
        </w:tc>
        <w:tc>
          <w:tcPr>
            <w:tcW w:w="2711"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开展理想信念、就业形势与政策、创业教育、诚信教育、心理健康教育、安全教育、感恩教育、入职适应教育、职业道德教育等活动。</w:t>
            </w:r>
          </w:p>
        </w:tc>
        <w:tc>
          <w:tcPr>
            <w:tcW w:w="642"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班级主题活动、讲座、研讨会</w:t>
            </w:r>
          </w:p>
        </w:tc>
        <w:tc>
          <w:tcPr>
            <w:tcW w:w="2598"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了解专业相关的工程实习和社会实践要求，增强进入社会的适应性；树立正确的价值观、道德观、社会主义荣辱观，加强学生职业道德和规范教育，培养学生法律意识；培养良好的心理品质，树立正确的学习理念，养成终身学习的习惯，全面提升就业能力。</w:t>
            </w:r>
          </w:p>
        </w:tc>
        <w:tc>
          <w:tcPr>
            <w:tcW w:w="186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树立正确的价值观、道德观、社会主义荣辱观，正确认识目前的就业形势和党和国家的政策，引导学生树立“先就业，后择业，再创业”的现代择业观，使毕业生增强“诚信为本、诚信立业、诚信立命”意识。</w:t>
            </w:r>
          </w:p>
        </w:tc>
        <w:tc>
          <w:tcPr>
            <w:tcW w:w="1240"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校内</w:t>
            </w:r>
          </w:p>
        </w:tc>
        <w:tc>
          <w:tcPr>
            <w:tcW w:w="1074"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过程考核</w:t>
            </w:r>
          </w:p>
        </w:tc>
        <w:tc>
          <w:tcPr>
            <w:tcW w:w="1353" w:type="dxa"/>
            <w:vAlign w:val="center"/>
          </w:tcPr>
          <w:p>
            <w:pPr>
              <w:widowControl/>
              <w:spacing w:line="0" w:lineRule="atLeast"/>
              <w:jc w:val="left"/>
              <w:textAlignment w:val="center"/>
              <w:rPr>
                <w:rFonts w:hint="eastAsia" w:ascii="宋体" w:hAnsi="宋体" w:eastAsia="宋体" w:cs="Times New Roman"/>
                <w:color w:val="000000"/>
                <w:sz w:val="18"/>
                <w:szCs w:val="18"/>
                <w:lang w:val="en-US" w:eastAsia="zh-CN"/>
              </w:rPr>
            </w:pPr>
            <w:r>
              <w:rPr>
                <w:rFonts w:hint="eastAsia" w:ascii="宋体" w:hAnsi="宋体" w:eastAsia="宋体" w:cs="Times New Roman"/>
                <w:color w:val="000000"/>
                <w:sz w:val="18"/>
                <w:szCs w:val="18"/>
              </w:rPr>
              <w:t>组织做好各种活动预案以及校内场所安排</w:t>
            </w:r>
          </w:p>
        </w:tc>
      </w:tr>
    </w:tbl>
    <w:p>
      <w:pPr>
        <w:spacing w:line="312" w:lineRule="auto"/>
        <w:ind w:firstLine="482" w:firstLineChars="200"/>
        <w:rPr>
          <w:rFonts w:ascii="Times New Roman" w:hAnsi="Times New Roman" w:eastAsia="宋体" w:cs="Times New Roman"/>
          <w:sz w:val="24"/>
          <w:szCs w:val="24"/>
        </w:rPr>
      </w:pPr>
      <w:r>
        <w:rPr>
          <w:rFonts w:ascii="Times New Roman" w:hAnsi="宋体" w:eastAsia="宋体" w:cs="Times New Roman"/>
          <w:b/>
          <w:sz w:val="24"/>
          <w:szCs w:val="24"/>
        </w:rPr>
        <w:t>备注：</w:t>
      </w:r>
      <w:r>
        <w:rPr>
          <w:rFonts w:ascii="Times New Roman" w:hAnsi="Times New Roman" w:eastAsia="宋体" w:cs="Times New Roman"/>
          <w:b/>
          <w:sz w:val="24"/>
          <w:szCs w:val="24"/>
        </w:rPr>
        <w:t>“</w:t>
      </w:r>
      <w:r>
        <w:rPr>
          <w:rFonts w:ascii="Times New Roman" w:hAnsi="宋体" w:eastAsia="宋体" w:cs="Times New Roman"/>
          <w:b/>
          <w:sz w:val="24"/>
          <w:szCs w:val="24"/>
        </w:rPr>
        <w:t>课程思政、优秀传统文化融合点要求</w:t>
      </w:r>
      <w:r>
        <w:rPr>
          <w:rFonts w:ascii="Times New Roman" w:hAnsi="Times New Roman" w:eastAsia="宋体" w:cs="Times New Roman"/>
          <w:b/>
          <w:sz w:val="24"/>
          <w:szCs w:val="24"/>
        </w:rPr>
        <w:t>”</w:t>
      </w:r>
      <w:r>
        <w:rPr>
          <w:rFonts w:ascii="Times New Roman" w:hAnsi="宋体" w:eastAsia="宋体" w:cs="Times New Roman"/>
          <w:sz w:val="24"/>
          <w:szCs w:val="24"/>
        </w:rPr>
        <w:t>主要描述该课程在教学中应重点突出的课程思政、优秀传统文化元素，列出社会主义核心价值观的主要具体培养和塑造点，以及</w:t>
      </w:r>
      <w:r>
        <w:rPr>
          <w:rFonts w:ascii="Times New Roman" w:hAnsi="Times New Roman" w:eastAsia="宋体" w:cs="Times New Roman"/>
          <w:sz w:val="24"/>
          <w:szCs w:val="24"/>
        </w:rPr>
        <w:t>“</w:t>
      </w:r>
      <w:r>
        <w:rPr>
          <w:rFonts w:ascii="Times New Roman" w:hAnsi="宋体" w:eastAsia="宋体" w:cs="Times New Roman"/>
          <w:sz w:val="24"/>
          <w:szCs w:val="24"/>
        </w:rPr>
        <w:t>校园文化</w:t>
      </w:r>
      <w:r>
        <w:rPr>
          <w:rFonts w:ascii="Times New Roman" w:hAnsi="Times New Roman" w:eastAsia="宋体" w:cs="Times New Roman"/>
          <w:sz w:val="24"/>
          <w:szCs w:val="24"/>
        </w:rPr>
        <w:t>”</w:t>
      </w:r>
      <w:r>
        <w:rPr>
          <w:rFonts w:ascii="Times New Roman" w:hAnsi="宋体" w:eastAsia="宋体" w:cs="Times New Roman"/>
          <w:sz w:val="24"/>
          <w:szCs w:val="24"/>
        </w:rPr>
        <w:t>品牌</w:t>
      </w:r>
      <w:r>
        <w:rPr>
          <w:rFonts w:ascii="Times New Roman" w:hAnsi="Times New Roman" w:eastAsia="宋体" w:cs="Times New Roman"/>
          <w:sz w:val="24"/>
          <w:szCs w:val="24"/>
        </w:rPr>
        <w:t>“</w:t>
      </w:r>
      <w:r>
        <w:rPr>
          <w:rFonts w:ascii="Times New Roman" w:hAnsi="宋体" w:eastAsia="宋体" w:cs="Times New Roman"/>
          <w:sz w:val="24"/>
          <w:szCs w:val="24"/>
        </w:rPr>
        <w:t>励志成才</w:t>
      </w:r>
      <w:r>
        <w:rPr>
          <w:rFonts w:ascii="Times New Roman" w:hAnsi="Times New Roman" w:eastAsia="宋体" w:cs="Times New Roman"/>
          <w:sz w:val="24"/>
          <w:szCs w:val="24"/>
        </w:rPr>
        <w:t>·</w:t>
      </w:r>
      <w:r>
        <w:rPr>
          <w:rFonts w:ascii="Times New Roman" w:hAnsi="宋体" w:eastAsia="宋体" w:cs="Times New Roman"/>
          <w:sz w:val="24"/>
          <w:szCs w:val="24"/>
        </w:rPr>
        <w:t>匠心筑梦</w:t>
      </w:r>
      <w:r>
        <w:rPr>
          <w:rFonts w:ascii="Times New Roman" w:hAnsi="Times New Roman" w:eastAsia="宋体" w:cs="Times New Roman"/>
          <w:sz w:val="24"/>
          <w:szCs w:val="24"/>
        </w:rPr>
        <w:t>·</w:t>
      </w:r>
      <w:r>
        <w:rPr>
          <w:rFonts w:ascii="Times New Roman" w:hAnsi="宋体" w:eastAsia="宋体" w:cs="Times New Roman"/>
          <w:sz w:val="24"/>
          <w:szCs w:val="24"/>
        </w:rPr>
        <w:t>爱心奉献</w:t>
      </w:r>
      <w:r>
        <w:rPr>
          <w:rFonts w:ascii="Times New Roman" w:hAnsi="Times New Roman" w:eastAsia="宋体" w:cs="Times New Roman"/>
          <w:sz w:val="24"/>
          <w:szCs w:val="24"/>
        </w:rPr>
        <w:t>”</w:t>
      </w:r>
      <w:r>
        <w:rPr>
          <w:rFonts w:ascii="Times New Roman" w:hAnsi="宋体" w:eastAsia="宋体" w:cs="Times New Roman"/>
          <w:sz w:val="24"/>
          <w:szCs w:val="24"/>
        </w:rPr>
        <w:t>三大内涵主要对应点。</w:t>
      </w:r>
    </w:p>
    <w:p>
      <w:pPr>
        <w:spacing w:line="312"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w:t>
      </w:r>
      <w:r>
        <w:rPr>
          <w:rFonts w:ascii="Times New Roman" w:hAnsi="宋体" w:eastAsia="宋体" w:cs="Times New Roman"/>
          <w:b/>
          <w:sz w:val="24"/>
          <w:szCs w:val="24"/>
        </w:rPr>
        <w:t>创新创业融合点要求</w:t>
      </w:r>
      <w:r>
        <w:rPr>
          <w:rFonts w:ascii="Times New Roman" w:hAnsi="Times New Roman" w:eastAsia="宋体" w:cs="Times New Roman"/>
          <w:b/>
          <w:sz w:val="24"/>
          <w:szCs w:val="24"/>
        </w:rPr>
        <w:t>”</w:t>
      </w:r>
      <w:r>
        <w:rPr>
          <w:rFonts w:ascii="Times New Roman" w:hAnsi="宋体" w:eastAsia="宋体" w:cs="Times New Roman"/>
          <w:sz w:val="24"/>
          <w:szCs w:val="24"/>
        </w:rPr>
        <w:t>主要描述该课程在教学中应在教学内容、教学方式方法等方面体现的创新创业要素（双创之一即可）。</w:t>
      </w:r>
    </w:p>
    <w:p>
      <w:pPr>
        <w:ind w:firstLine="482" w:firstLineChars="200"/>
        <w:rPr>
          <w:rFonts w:ascii="Times New Roman" w:hAnsi="黑体" w:eastAsia="黑体" w:cs="Times New Roman"/>
          <w:b/>
          <w:sz w:val="24"/>
          <w:szCs w:val="24"/>
        </w:rPr>
      </w:pPr>
    </w:p>
    <w:p>
      <w:pPr>
        <w:ind w:firstLine="482" w:firstLineChars="200"/>
        <w:rPr>
          <w:rFonts w:ascii="Times New Roman" w:hAnsi="Times New Roman" w:eastAsia="黑体" w:cs="Times New Roman"/>
          <w:b/>
          <w:sz w:val="24"/>
          <w:szCs w:val="24"/>
        </w:rPr>
      </w:pPr>
      <w:r>
        <w:rPr>
          <w:rFonts w:hint="eastAsia" w:ascii="Times New Roman" w:hAnsi="黑体" w:eastAsia="黑体" w:cs="Times New Roman"/>
          <w:b/>
          <w:sz w:val="24"/>
          <w:szCs w:val="24"/>
        </w:rPr>
        <w:t>七、教学计划总体安排（按周安排）</w:t>
      </w:r>
    </w:p>
    <w:p>
      <w:pPr>
        <w:spacing w:line="460" w:lineRule="exact"/>
        <w:ind w:firstLine="482" w:firstLineChars="200"/>
        <w:rPr>
          <w:rFonts w:ascii="Times New Roman" w:hAnsi="黑体" w:eastAsia="黑体" w:cs="Times New Roman"/>
          <w:b/>
          <w:sz w:val="24"/>
          <w:szCs w:val="24"/>
        </w:rPr>
      </w:pPr>
      <w:r>
        <w:rPr>
          <w:rFonts w:ascii="Times New Roman" w:hAnsi="Times New Roman" w:eastAsia="宋体" w:cs="Times New Roman"/>
          <w:b/>
          <w:bCs/>
          <w:sz w:val="24"/>
          <w:szCs w:val="24"/>
        </w:rPr>
        <w:t>1</w:t>
      </w:r>
      <w:r>
        <w:rPr>
          <w:rFonts w:hint="eastAsia" w:ascii="Times New Roman" w:hAnsi="Times New Roman" w:eastAsia="宋体" w:cs="Times New Roman"/>
          <w:b/>
          <w:bCs/>
          <w:sz w:val="24"/>
          <w:szCs w:val="24"/>
        </w:rPr>
        <w:t>、教学进程安排</w:t>
      </w:r>
    </w:p>
    <w:tbl>
      <w:tblPr>
        <w:tblStyle w:val="23"/>
        <w:tblW w:w="14068" w:type="dxa"/>
        <w:tblInd w:w="113" w:type="dxa"/>
        <w:tblLayout w:type="fixed"/>
        <w:tblCellMar>
          <w:top w:w="0" w:type="dxa"/>
          <w:left w:w="108" w:type="dxa"/>
          <w:bottom w:w="0" w:type="dxa"/>
          <w:right w:w="108" w:type="dxa"/>
        </w:tblCellMar>
      </w:tblPr>
      <w:tblGrid>
        <w:gridCol w:w="421"/>
        <w:gridCol w:w="425"/>
        <w:gridCol w:w="425"/>
        <w:gridCol w:w="425"/>
        <w:gridCol w:w="426"/>
        <w:gridCol w:w="425"/>
        <w:gridCol w:w="1843"/>
        <w:gridCol w:w="567"/>
        <w:gridCol w:w="708"/>
        <w:gridCol w:w="674"/>
        <w:gridCol w:w="602"/>
        <w:gridCol w:w="567"/>
        <w:gridCol w:w="567"/>
        <w:gridCol w:w="567"/>
        <w:gridCol w:w="567"/>
        <w:gridCol w:w="567"/>
        <w:gridCol w:w="567"/>
        <w:gridCol w:w="567"/>
        <w:gridCol w:w="567"/>
        <w:gridCol w:w="567"/>
        <w:gridCol w:w="579"/>
        <w:gridCol w:w="573"/>
        <w:gridCol w:w="872"/>
      </w:tblGrid>
      <w:tr>
        <w:tblPrEx>
          <w:tblCellMar>
            <w:top w:w="0" w:type="dxa"/>
            <w:left w:w="108" w:type="dxa"/>
            <w:bottom w:w="0" w:type="dxa"/>
            <w:right w:w="108" w:type="dxa"/>
          </w:tblCellMar>
        </w:tblPrEx>
        <w:trPr>
          <w:trHeight w:val="251" w:hRule="atLeast"/>
        </w:trPr>
        <w:tc>
          <w:tcPr>
            <w:tcW w:w="421"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课程设置</w:t>
            </w:r>
          </w:p>
        </w:tc>
        <w:tc>
          <w:tcPr>
            <w:tcW w:w="425"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课程模块</w:t>
            </w:r>
          </w:p>
        </w:tc>
        <w:tc>
          <w:tcPr>
            <w:tcW w:w="425"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课程类别</w:t>
            </w:r>
          </w:p>
        </w:tc>
        <w:tc>
          <w:tcPr>
            <w:tcW w:w="425"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课程性质</w:t>
            </w:r>
          </w:p>
        </w:tc>
        <w:tc>
          <w:tcPr>
            <w:tcW w:w="426"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textDirection w:val="tbRlV"/>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课程编号</w:t>
            </w:r>
          </w:p>
        </w:tc>
        <w:tc>
          <w:tcPr>
            <w:tcW w:w="18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课 程 名 称</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学</w:t>
            </w:r>
            <w:r>
              <w:rPr>
                <w:rFonts w:ascii="Times New Roman" w:hAnsi="Times New Roman" w:eastAsia="宋体" w:cs="Times New Roman"/>
                <w:kern w:val="0"/>
                <w:sz w:val="18"/>
                <w:szCs w:val="18"/>
              </w:rPr>
              <w:t xml:space="preserve"> </w:t>
            </w:r>
            <w:r>
              <w:rPr>
                <w:rFonts w:hint="eastAsia" w:ascii="宋体" w:hAnsi="宋体" w:eastAsia="宋体" w:cs="Times New Roman"/>
                <w:kern w:val="0"/>
                <w:sz w:val="18"/>
                <w:szCs w:val="18"/>
              </w:rPr>
              <w:t>分</w:t>
            </w:r>
          </w:p>
        </w:tc>
        <w:tc>
          <w:tcPr>
            <w:tcW w:w="198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学  时  数</w:t>
            </w:r>
          </w:p>
        </w:tc>
        <w:tc>
          <w:tcPr>
            <w:tcW w:w="5682" w:type="dxa"/>
            <w:gridSpan w:val="10"/>
            <w:tcBorders>
              <w:top w:val="single" w:color="auto" w:sz="4" w:space="0"/>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学 时 分 配</w:t>
            </w:r>
          </w:p>
        </w:tc>
        <w:tc>
          <w:tcPr>
            <w:tcW w:w="57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考核方式</w:t>
            </w:r>
          </w:p>
        </w:tc>
        <w:tc>
          <w:tcPr>
            <w:tcW w:w="872" w:type="dxa"/>
            <w:vMerge w:val="restart"/>
            <w:tcBorders>
              <w:top w:val="single" w:color="auto" w:sz="4" w:space="0"/>
              <w:left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开课</w:t>
            </w:r>
          </w:p>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单位</w:t>
            </w:r>
          </w:p>
        </w:tc>
      </w:tr>
      <w:tr>
        <w:tblPrEx>
          <w:tblCellMar>
            <w:top w:w="0" w:type="dxa"/>
            <w:left w:w="108" w:type="dxa"/>
            <w:bottom w:w="0" w:type="dxa"/>
            <w:right w:w="108" w:type="dxa"/>
          </w:tblCellMar>
        </w:tblPrEx>
        <w:trPr>
          <w:trHeight w:val="251" w:hRule="atLeast"/>
        </w:trPr>
        <w:tc>
          <w:tcPr>
            <w:tcW w:w="4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6"/>
                <w:szCs w:val="16"/>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708"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总学时</w:t>
            </w:r>
          </w:p>
        </w:tc>
        <w:tc>
          <w:tcPr>
            <w:tcW w:w="674"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理论课</w:t>
            </w:r>
          </w:p>
        </w:tc>
        <w:tc>
          <w:tcPr>
            <w:tcW w:w="602"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实践课</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宋体" w:hAnsi="宋体" w:eastAsia="宋体" w:cs="宋体"/>
                <w:kern w:val="0"/>
                <w:sz w:val="18"/>
                <w:szCs w:val="18"/>
              </w:rPr>
              <w:t>Ⅰ</w:t>
            </w:r>
            <w:r>
              <w:rPr>
                <w:rFonts w:ascii="Times New Roman" w:hAnsi="Times New Roman" w:eastAsia="宋体" w:cs="Times New Roman"/>
                <w:kern w:val="0"/>
                <w:sz w:val="18"/>
                <w:szCs w:val="18"/>
              </w:rPr>
              <w:t>学年</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宋体" w:hAnsi="宋体" w:eastAsia="宋体" w:cs="宋体"/>
                <w:kern w:val="0"/>
                <w:sz w:val="18"/>
                <w:szCs w:val="18"/>
              </w:rPr>
              <w:t>Ⅱ</w:t>
            </w:r>
            <w:r>
              <w:rPr>
                <w:rFonts w:ascii="Times New Roman" w:hAnsi="Times New Roman" w:eastAsia="宋体" w:cs="Times New Roman"/>
                <w:kern w:val="0"/>
                <w:sz w:val="18"/>
                <w:szCs w:val="18"/>
              </w:rPr>
              <w:t>学年</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宋体" w:hAnsi="宋体" w:eastAsia="宋体" w:cs="宋体"/>
                <w:kern w:val="0"/>
                <w:sz w:val="18"/>
                <w:szCs w:val="18"/>
              </w:rPr>
              <w:t>Ⅲ</w:t>
            </w:r>
            <w:r>
              <w:rPr>
                <w:rFonts w:ascii="Times New Roman" w:hAnsi="Times New Roman" w:eastAsia="宋体" w:cs="Times New Roman"/>
                <w:kern w:val="0"/>
                <w:sz w:val="18"/>
                <w:szCs w:val="18"/>
              </w:rPr>
              <w:t>学年</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宋体" w:hAnsi="宋体" w:eastAsia="宋体" w:cs="宋体"/>
                <w:kern w:val="0"/>
                <w:sz w:val="18"/>
                <w:szCs w:val="18"/>
              </w:rPr>
              <w:t>Ⅳ</w:t>
            </w:r>
            <w:r>
              <w:rPr>
                <w:rFonts w:ascii="Times New Roman" w:hAnsi="Times New Roman" w:eastAsia="宋体" w:cs="Times New Roman"/>
                <w:kern w:val="0"/>
                <w:sz w:val="18"/>
                <w:szCs w:val="18"/>
              </w:rPr>
              <w:t>学年</w:t>
            </w:r>
          </w:p>
        </w:tc>
        <w:tc>
          <w:tcPr>
            <w:tcW w:w="114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宋体" w:hAnsi="宋体" w:eastAsia="宋体" w:cs="宋体"/>
                <w:kern w:val="0"/>
                <w:sz w:val="18"/>
                <w:szCs w:val="18"/>
              </w:rPr>
              <w:t>Ⅴ</w:t>
            </w:r>
            <w:r>
              <w:rPr>
                <w:rFonts w:ascii="Times New Roman" w:hAnsi="Times New Roman" w:eastAsia="宋体" w:cs="Times New Roman"/>
                <w:kern w:val="0"/>
                <w:sz w:val="18"/>
                <w:szCs w:val="18"/>
              </w:rPr>
              <w:t>学年</w:t>
            </w:r>
          </w:p>
        </w:tc>
        <w:tc>
          <w:tcPr>
            <w:tcW w:w="57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872" w:type="dxa"/>
            <w:vMerge w:val="continue"/>
            <w:tcBorders>
              <w:left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6" w:hRule="atLeast"/>
        </w:trPr>
        <w:tc>
          <w:tcPr>
            <w:tcW w:w="4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6"/>
                <w:szCs w:val="16"/>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708"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674"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60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第一学期</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第二学期</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第三学期</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第四学期</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第五学期</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第六学期</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第七学期</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第八学期</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第九学期</w:t>
            </w: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第十学期</w:t>
            </w:r>
          </w:p>
        </w:tc>
        <w:tc>
          <w:tcPr>
            <w:tcW w:w="57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872" w:type="dxa"/>
            <w:vMerge w:val="continue"/>
            <w:tcBorders>
              <w:left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6" w:hRule="atLeast"/>
        </w:trPr>
        <w:tc>
          <w:tcPr>
            <w:tcW w:w="4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6"/>
                <w:szCs w:val="16"/>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708"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674"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60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16</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13</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15</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15</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16</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18</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13</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12</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10</w:t>
            </w: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872" w:type="dxa"/>
            <w:vMerge w:val="continue"/>
            <w:tcBorders>
              <w:left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76" w:hRule="atLeast"/>
        </w:trPr>
        <w:tc>
          <w:tcPr>
            <w:tcW w:w="4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6"/>
                <w:szCs w:val="16"/>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708"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674"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60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周  学  时  数</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周  学  时  数</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872" w:type="dxa"/>
            <w:vMerge w:val="continue"/>
            <w:tcBorders>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76" w:hRule="atLeast"/>
        </w:trPr>
        <w:tc>
          <w:tcPr>
            <w:tcW w:w="42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公共基础课程</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公共基础模块</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公共基础课程</w:t>
            </w:r>
          </w:p>
        </w:tc>
        <w:tc>
          <w:tcPr>
            <w:tcW w:w="42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必</w:t>
            </w:r>
            <w:r>
              <w:rPr>
                <w:rFonts w:ascii="Times New Roman" w:hAnsi="Times New Roman" w:eastAsia="宋体" w:cs="Times New Roman"/>
                <w:kern w:val="0"/>
                <w:sz w:val="18"/>
                <w:szCs w:val="18"/>
              </w:rPr>
              <w:br w:type="textWrapping"/>
            </w:r>
            <w:r>
              <w:rPr>
                <w:rFonts w:ascii="Times New Roman" w:hAnsi="Times New Roman" w:eastAsia="宋体" w:cs="Times New Roman"/>
                <w:kern w:val="0"/>
                <w:sz w:val="18"/>
                <w:szCs w:val="18"/>
              </w:rPr>
              <w:t>修</w:t>
            </w: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中职德育</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180</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27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中职语文</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180</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中职数学</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180</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中职英语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180</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体育与健康</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252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252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46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计算机应用基础</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10</w:t>
            </w:r>
          </w:p>
        </w:tc>
        <w:tc>
          <w:tcPr>
            <w:tcW w:w="7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176</w:t>
            </w:r>
          </w:p>
        </w:tc>
        <w:tc>
          <w:tcPr>
            <w:tcW w:w="67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64</w:t>
            </w:r>
          </w:p>
        </w:tc>
        <w:tc>
          <w:tcPr>
            <w:tcW w:w="60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112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  信息系</w:t>
            </w:r>
          </w:p>
        </w:tc>
      </w:tr>
      <w:tr>
        <w:tblPrEx>
          <w:tblCellMar>
            <w:top w:w="0" w:type="dxa"/>
            <w:left w:w="108" w:type="dxa"/>
            <w:bottom w:w="0" w:type="dxa"/>
            <w:right w:w="108" w:type="dxa"/>
          </w:tblCellMar>
        </w:tblPrEx>
        <w:trPr>
          <w:trHeight w:val="90"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7</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音乐</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书法</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9</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中职历史</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32</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艺术与审美</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基础部</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11</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中职物理</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12</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大学英语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90</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45</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45</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基础部</w:t>
            </w:r>
          </w:p>
        </w:tc>
      </w:tr>
      <w:tr>
        <w:tblPrEx>
          <w:tblCellMar>
            <w:top w:w="0" w:type="dxa"/>
            <w:left w:w="108" w:type="dxa"/>
            <w:bottom w:w="0" w:type="dxa"/>
            <w:right w:w="108" w:type="dxa"/>
          </w:tblCellMar>
        </w:tblPrEx>
        <w:trPr>
          <w:trHeight w:val="41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13</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毛泽东思想和中国特色社会主义理论体系概论</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64</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48</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思政部</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14</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职业道德修养与法律基础</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48</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32</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思政部</w:t>
            </w:r>
          </w:p>
        </w:tc>
      </w:tr>
      <w:tr>
        <w:tblPrEx>
          <w:tblCellMar>
            <w:top w:w="0" w:type="dxa"/>
            <w:left w:w="108" w:type="dxa"/>
            <w:bottom w:w="0" w:type="dxa"/>
            <w:right w:w="108" w:type="dxa"/>
          </w:tblCellMar>
        </w:tblPrEx>
        <w:trPr>
          <w:trHeight w:val="27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形势与政策</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思政部</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军事理论与安全教育</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学工处</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17</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大学生心理健康教育</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学工处</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中华优秀传统文化</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24</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基础部</w:t>
            </w: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19</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高等数学</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基础部</w:t>
            </w:r>
          </w:p>
        </w:tc>
      </w:tr>
      <w:tr>
        <w:tblPrEx>
          <w:tblCellMar>
            <w:top w:w="0" w:type="dxa"/>
            <w:left w:w="108" w:type="dxa"/>
            <w:bottom w:w="0" w:type="dxa"/>
            <w:right w:w="108" w:type="dxa"/>
          </w:tblCellMar>
        </w:tblPrEx>
        <w:trPr>
          <w:trHeight w:val="29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党史国史</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思政部</w:t>
            </w:r>
          </w:p>
        </w:tc>
      </w:tr>
      <w:tr>
        <w:tblPrEx>
          <w:tblCellMar>
            <w:top w:w="0" w:type="dxa"/>
            <w:left w:w="108" w:type="dxa"/>
            <w:bottom w:w="0" w:type="dxa"/>
            <w:right w:w="108" w:type="dxa"/>
          </w:tblCellMar>
        </w:tblPrEx>
        <w:trPr>
          <w:trHeight w:val="29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21</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大学语文</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基础部</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3119" w:type="dxa"/>
            <w:gridSpan w:val="4"/>
            <w:tcBorders>
              <w:top w:val="single" w:color="auto" w:sz="4" w:space="0"/>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小计</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95.5</w:t>
            </w:r>
          </w:p>
        </w:tc>
        <w:tc>
          <w:tcPr>
            <w:tcW w:w="708"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1632</w:t>
            </w:r>
          </w:p>
        </w:tc>
        <w:tc>
          <w:tcPr>
            <w:tcW w:w="674"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1155</w:t>
            </w:r>
          </w:p>
        </w:tc>
        <w:tc>
          <w:tcPr>
            <w:tcW w:w="602"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477</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17</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15</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13</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13</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20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9</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79"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73"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6"/>
                <w:szCs w:val="16"/>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367"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选修</w:t>
            </w:r>
          </w:p>
        </w:tc>
        <w:tc>
          <w:tcPr>
            <w:tcW w:w="426"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22</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人文艺术类课程</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24</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教务处</w:t>
            </w:r>
          </w:p>
        </w:tc>
      </w:tr>
      <w:tr>
        <w:tblPrEx>
          <w:tblCellMar>
            <w:top w:w="0" w:type="dxa"/>
            <w:left w:w="108" w:type="dxa"/>
            <w:bottom w:w="0" w:type="dxa"/>
            <w:right w:w="108" w:type="dxa"/>
          </w:tblCellMar>
        </w:tblPrEx>
        <w:trPr>
          <w:trHeight w:val="273"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23</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社会认识类课程</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24</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24</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工具类课程</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24</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25</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科技素质类课程</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24</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6"/>
                <w:szCs w:val="16"/>
              </w:rPr>
            </w:pPr>
          </w:p>
        </w:tc>
      </w:tr>
      <w:tr>
        <w:tblPrEx>
          <w:tblCellMar>
            <w:top w:w="0" w:type="dxa"/>
            <w:left w:w="108" w:type="dxa"/>
            <w:bottom w:w="0" w:type="dxa"/>
            <w:right w:w="108" w:type="dxa"/>
          </w:tblCellMar>
        </w:tblPrEx>
        <w:trPr>
          <w:trHeight w:val="392"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3119" w:type="dxa"/>
            <w:gridSpan w:val="4"/>
            <w:tcBorders>
              <w:top w:val="single" w:color="auto" w:sz="4" w:space="0"/>
              <w:left w:val="nil"/>
              <w:bottom w:val="single" w:color="auto" w:sz="4" w:space="0"/>
              <w:right w:val="single" w:color="000000" w:sz="4" w:space="0"/>
            </w:tcBorders>
            <w:shd w:val="clear" w:color="000000" w:fill="F2F2F2"/>
            <w:vAlign w:val="center"/>
          </w:tcPr>
          <w:p>
            <w:pPr>
              <w:widowControl/>
              <w:spacing w:line="0" w:lineRule="atLeast"/>
              <w:jc w:val="center"/>
              <w:rPr>
                <w:rFonts w:ascii="Times New Roman" w:hAnsi="Times New Roman" w:eastAsia="宋体" w:cs="Times New Roman"/>
                <w:kern w:val="0"/>
                <w:sz w:val="16"/>
                <w:szCs w:val="16"/>
              </w:rPr>
            </w:pPr>
            <w:r>
              <w:rPr>
                <w:rFonts w:hint="eastAsia" w:ascii="宋体" w:hAnsi="宋体" w:eastAsia="宋体" w:cs="Times New Roman"/>
                <w:kern w:val="0"/>
                <w:sz w:val="16"/>
                <w:szCs w:val="16"/>
              </w:rPr>
              <w:t>小计（各类至少选修</w:t>
            </w:r>
            <w:r>
              <w:rPr>
                <w:rFonts w:ascii="Times New Roman" w:hAnsi="Times New Roman" w:eastAsia="宋体" w:cs="Times New Roman"/>
                <w:kern w:val="0"/>
                <w:sz w:val="16"/>
                <w:szCs w:val="16"/>
              </w:rPr>
              <w:t>1</w:t>
            </w:r>
            <w:r>
              <w:rPr>
                <w:rFonts w:hint="eastAsia" w:ascii="宋体" w:hAnsi="宋体" w:eastAsia="宋体" w:cs="Times New Roman"/>
                <w:kern w:val="0"/>
                <w:sz w:val="16"/>
                <w:szCs w:val="16"/>
              </w:rPr>
              <w:t>门，学分至少</w:t>
            </w:r>
            <w:r>
              <w:rPr>
                <w:rFonts w:ascii="Times New Roman" w:hAnsi="Times New Roman" w:eastAsia="宋体" w:cs="Times New Roman"/>
                <w:kern w:val="0"/>
                <w:sz w:val="16"/>
                <w:szCs w:val="16"/>
              </w:rPr>
              <w:t>6</w:t>
            </w:r>
            <w:r>
              <w:rPr>
                <w:rFonts w:hint="eastAsia" w:ascii="宋体" w:hAnsi="宋体" w:eastAsia="宋体" w:cs="Times New Roman"/>
                <w:kern w:val="0"/>
                <w:sz w:val="16"/>
                <w:szCs w:val="16"/>
              </w:rPr>
              <w:t>学分）</w:t>
            </w: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708"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96</w:t>
            </w:r>
          </w:p>
        </w:tc>
        <w:tc>
          <w:tcPr>
            <w:tcW w:w="674"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64</w:t>
            </w:r>
          </w:p>
        </w:tc>
        <w:tc>
          <w:tcPr>
            <w:tcW w:w="602"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32</w:t>
            </w: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1701" w:type="dxa"/>
            <w:gridSpan w:val="4"/>
            <w:tcBorders>
              <w:top w:val="single" w:color="auto" w:sz="4" w:space="0"/>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合计</w:t>
            </w:r>
          </w:p>
        </w:tc>
        <w:tc>
          <w:tcPr>
            <w:tcW w:w="425"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6"/>
                <w:szCs w:val="16"/>
              </w:rPr>
            </w:pP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5"/>
                <w:szCs w:val="15"/>
                <w:u w:val="none"/>
                <w:lang w:val="en-US" w:eastAsia="zh-CN" w:bidi="ar"/>
              </w:rPr>
              <w:t>101.5</w:t>
            </w:r>
          </w:p>
        </w:tc>
        <w:tc>
          <w:tcPr>
            <w:tcW w:w="708"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1728</w:t>
            </w:r>
          </w:p>
        </w:tc>
        <w:tc>
          <w:tcPr>
            <w:tcW w:w="674"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1219</w:t>
            </w:r>
          </w:p>
        </w:tc>
        <w:tc>
          <w:tcPr>
            <w:tcW w:w="602"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509</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17</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15</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13</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13</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4</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0</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20</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9</w:t>
            </w:r>
          </w:p>
        </w:tc>
        <w:tc>
          <w:tcPr>
            <w:tcW w:w="567"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0</w:t>
            </w:r>
          </w:p>
        </w:tc>
        <w:tc>
          <w:tcPr>
            <w:tcW w:w="579"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0</w:t>
            </w:r>
          </w:p>
        </w:tc>
        <w:tc>
          <w:tcPr>
            <w:tcW w:w="573" w:type="dxa"/>
            <w:tcBorders>
              <w:top w:val="nil"/>
              <w:left w:val="nil"/>
              <w:bottom w:val="single" w:color="auto" w:sz="4" w:space="0"/>
              <w:right w:val="single" w:color="auto" w:sz="4" w:space="0"/>
            </w:tcBorders>
            <w:shd w:val="clear" w:color="000000" w:fill="FDE9D9"/>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创新创业模块</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创新创业教育课程</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必修</w:t>
            </w:r>
          </w:p>
        </w:tc>
        <w:tc>
          <w:tcPr>
            <w:tcW w:w="426"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职业生涯规划与职业素养</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学工处</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27</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创业与就业指导</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学工处</w:t>
            </w:r>
          </w:p>
        </w:tc>
      </w:tr>
      <w:tr>
        <w:tblPrEx>
          <w:tblCellMar>
            <w:top w:w="0" w:type="dxa"/>
            <w:left w:w="108" w:type="dxa"/>
            <w:bottom w:w="0" w:type="dxa"/>
            <w:right w:w="108" w:type="dxa"/>
          </w:tblCellMar>
        </w:tblPrEx>
        <w:trPr>
          <w:trHeight w:val="27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28</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创新创业基础</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双创学院</w:t>
            </w:r>
          </w:p>
        </w:tc>
      </w:tr>
      <w:tr>
        <w:tblPrEx>
          <w:tblCellMar>
            <w:top w:w="0" w:type="dxa"/>
            <w:left w:w="108" w:type="dxa"/>
            <w:bottom w:w="0" w:type="dxa"/>
            <w:right w:w="108" w:type="dxa"/>
          </w:tblCellMar>
        </w:tblPrEx>
        <w:trPr>
          <w:trHeight w:val="510"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选修</w:t>
            </w:r>
          </w:p>
        </w:tc>
        <w:tc>
          <w:tcPr>
            <w:tcW w:w="426"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29</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创新创业类课程</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24</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12</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12</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Δ2</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教务处</w:t>
            </w:r>
          </w:p>
        </w:tc>
      </w:tr>
      <w:tr>
        <w:tblPrEx>
          <w:tblCellMar>
            <w:top w:w="0" w:type="dxa"/>
            <w:left w:w="108" w:type="dxa"/>
            <w:bottom w:w="0" w:type="dxa"/>
            <w:right w:w="108" w:type="dxa"/>
          </w:tblCellMar>
        </w:tblPrEx>
        <w:trPr>
          <w:trHeight w:val="437"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3119" w:type="dxa"/>
            <w:gridSpan w:val="4"/>
            <w:tcBorders>
              <w:top w:val="single" w:color="auto" w:sz="4" w:space="0"/>
              <w:left w:val="nil"/>
              <w:bottom w:val="single" w:color="auto" w:sz="4" w:space="0"/>
              <w:right w:val="single" w:color="000000" w:sz="4" w:space="0"/>
            </w:tcBorders>
            <w:shd w:val="clear" w:color="000000" w:fill="D9D9D9"/>
            <w:vAlign w:val="center"/>
          </w:tcPr>
          <w:p>
            <w:pPr>
              <w:widowControl/>
              <w:spacing w:line="0" w:lineRule="atLeast"/>
              <w:jc w:val="center"/>
              <w:rPr>
                <w:rFonts w:ascii="Times New Roman" w:hAnsi="Times New Roman" w:eastAsia="宋体" w:cs="Times New Roman"/>
                <w:kern w:val="0"/>
                <w:sz w:val="16"/>
                <w:szCs w:val="16"/>
              </w:rPr>
            </w:pPr>
            <w:r>
              <w:rPr>
                <w:rFonts w:hint="eastAsia" w:ascii="宋体" w:hAnsi="宋体" w:eastAsia="宋体" w:cs="Times New Roman"/>
                <w:kern w:val="0"/>
                <w:sz w:val="16"/>
                <w:szCs w:val="16"/>
              </w:rPr>
              <w:t>小计（不含创新创业专业课程，计</w:t>
            </w:r>
            <w:r>
              <w:rPr>
                <w:rFonts w:ascii="Times New Roman" w:hAnsi="Times New Roman" w:eastAsia="宋体" w:cs="Times New Roman"/>
                <w:kern w:val="0"/>
                <w:sz w:val="16"/>
                <w:szCs w:val="16"/>
              </w:rPr>
              <w:t>5.5</w:t>
            </w:r>
            <w:r>
              <w:rPr>
                <w:rFonts w:hint="eastAsia" w:ascii="宋体" w:hAnsi="宋体" w:eastAsia="宋体" w:cs="Times New Roman"/>
                <w:kern w:val="0"/>
                <w:sz w:val="16"/>
                <w:szCs w:val="16"/>
              </w:rPr>
              <w:t>学分）</w:t>
            </w: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5.5</w:t>
            </w:r>
          </w:p>
        </w:tc>
        <w:tc>
          <w:tcPr>
            <w:tcW w:w="708"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88</w:t>
            </w:r>
          </w:p>
        </w:tc>
        <w:tc>
          <w:tcPr>
            <w:tcW w:w="674"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42</w:t>
            </w:r>
          </w:p>
        </w:tc>
        <w:tc>
          <w:tcPr>
            <w:tcW w:w="602"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46</w:t>
            </w: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79"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000000" w:fill="D9D9D9"/>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1701" w:type="dxa"/>
            <w:gridSpan w:val="4"/>
            <w:tcBorders>
              <w:top w:val="single" w:color="auto" w:sz="4" w:space="0"/>
              <w:left w:val="nil"/>
              <w:bottom w:val="single" w:color="auto" w:sz="4" w:space="0"/>
              <w:right w:val="single" w:color="auto" w:sz="4" w:space="0"/>
            </w:tcBorders>
            <w:shd w:val="clear" w:color="000000" w:fill="FDE9D9"/>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合计</w:t>
            </w:r>
          </w:p>
        </w:tc>
        <w:tc>
          <w:tcPr>
            <w:tcW w:w="425"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6"/>
                <w:szCs w:val="16"/>
              </w:rPr>
            </w:pP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5.5</w:t>
            </w:r>
          </w:p>
        </w:tc>
        <w:tc>
          <w:tcPr>
            <w:tcW w:w="708"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88</w:t>
            </w:r>
          </w:p>
        </w:tc>
        <w:tc>
          <w:tcPr>
            <w:tcW w:w="674"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42</w:t>
            </w:r>
          </w:p>
        </w:tc>
        <w:tc>
          <w:tcPr>
            <w:tcW w:w="602"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46</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579"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51" w:hRule="atLeast"/>
        </w:trPr>
        <w:tc>
          <w:tcPr>
            <w:tcW w:w="42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专业课程</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专业技术技能模块</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专业基础课程</w:t>
            </w:r>
          </w:p>
        </w:tc>
        <w:tc>
          <w:tcPr>
            <w:tcW w:w="425" w:type="dxa"/>
            <w:vMerge w:val="restart"/>
            <w:tcBorders>
              <w:top w:val="nil"/>
              <w:left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必修</w:t>
            </w: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30</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无机化学</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6</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ascii="Times New Roman" w:hAnsi="Times New Roman" w:eastAsia="宋体" w:cs="Times New Roman"/>
                <w:kern w:val="0"/>
                <w:sz w:val="18"/>
                <w:szCs w:val="18"/>
              </w:rPr>
              <w:t>1</w:t>
            </w:r>
            <w:r>
              <w:rPr>
                <w:rFonts w:hint="eastAsia" w:ascii="Times New Roman" w:hAnsi="Times New Roman" w:eastAsia="宋体" w:cs="Times New Roman"/>
                <w:kern w:val="0"/>
                <w:sz w:val="18"/>
                <w:szCs w:val="18"/>
                <w:lang w:val="en-US" w:eastAsia="zh-CN"/>
              </w:rPr>
              <w:t>08</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54</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31</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有机化学</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108</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54</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中职校</w:t>
            </w:r>
          </w:p>
        </w:tc>
      </w:tr>
      <w:tr>
        <w:tblPrEx>
          <w:tblCellMar>
            <w:top w:w="0" w:type="dxa"/>
            <w:left w:w="108" w:type="dxa"/>
            <w:bottom w:w="0" w:type="dxa"/>
            <w:right w:w="108" w:type="dxa"/>
          </w:tblCellMar>
        </w:tblPrEx>
        <w:trPr>
          <w:trHeight w:val="243"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32</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食品基础知识</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4</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72</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eastAsia="zh-CN"/>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中职校</w:t>
            </w:r>
          </w:p>
        </w:tc>
      </w:tr>
      <w:tr>
        <w:tblPrEx>
          <w:tblCellMar>
            <w:top w:w="0" w:type="dxa"/>
            <w:left w:w="108" w:type="dxa"/>
            <w:bottom w:w="0" w:type="dxa"/>
            <w:right w:w="108" w:type="dxa"/>
          </w:tblCellMar>
        </w:tblPrEx>
        <w:trPr>
          <w:trHeight w:val="495"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33</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分析化学（基础模块）</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108</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54</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中职校</w:t>
            </w:r>
          </w:p>
        </w:tc>
      </w:tr>
      <w:tr>
        <w:tblPrEx>
          <w:tblCellMar>
            <w:top w:w="0" w:type="dxa"/>
            <w:left w:w="108" w:type="dxa"/>
            <w:bottom w:w="0" w:type="dxa"/>
            <w:right w:w="108" w:type="dxa"/>
          </w:tblCellMar>
        </w:tblPrEx>
        <w:trPr>
          <w:trHeight w:val="37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34</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分析化学（提升模块）</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r>
              <w:rPr>
                <w:rFonts w:ascii="Times New Roman" w:hAnsi="Times New Roman" w:eastAsia="宋体" w:cs="Times New Roman"/>
                <w:kern w:val="0"/>
                <w:sz w:val="18"/>
                <w:szCs w:val="18"/>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高职校</w:t>
            </w:r>
          </w:p>
        </w:tc>
      </w:tr>
      <w:tr>
        <w:tblPrEx>
          <w:tblCellMar>
            <w:top w:w="0" w:type="dxa"/>
            <w:left w:w="108" w:type="dxa"/>
            <w:bottom w:w="0" w:type="dxa"/>
            <w:right w:w="108" w:type="dxa"/>
          </w:tblCellMar>
        </w:tblPrEx>
        <w:trPr>
          <w:trHeight w:val="37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35</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rPr>
              <w:t>基础化学Ⅱ</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4</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64</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64</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4</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37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36</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rPr>
              <w:t>基础化学实验技术Ⅱ</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32</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32</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37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37</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功能性食品</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36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36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bidi="ar-SA"/>
              </w:rPr>
              <w:t>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lang w:val="en-US" w:eastAsia="zh-CN" w:bidi="ar-SA"/>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lang w:val="en-US" w:eastAsia="zh-CN" w:bidi="ar-SA"/>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6"/>
                <w:szCs w:val="16"/>
                <w:lang w:eastAsia="zh-CN"/>
              </w:rPr>
            </w:pPr>
            <w:r>
              <w:rPr>
                <w:rFonts w:hint="eastAsia" w:ascii="宋体" w:hAnsi="宋体" w:cs="宋体"/>
                <w:kern w:val="0"/>
                <w:sz w:val="16"/>
                <w:szCs w:val="16"/>
                <w:lang w:eastAsia="zh-CN"/>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6"/>
                <w:szCs w:val="16"/>
              </w:rPr>
            </w:pPr>
            <w:r>
              <w:rPr>
                <w:rFonts w:hint="eastAsia" w:ascii="宋体" w:hAnsi="宋体" w:cs="宋体"/>
                <w:kern w:val="0"/>
                <w:sz w:val="16"/>
                <w:szCs w:val="16"/>
              </w:rPr>
              <w:t>中职校</w:t>
            </w:r>
          </w:p>
        </w:tc>
      </w:tr>
      <w:tr>
        <w:tblPrEx>
          <w:tblCellMar>
            <w:top w:w="0" w:type="dxa"/>
            <w:left w:w="108" w:type="dxa"/>
            <w:bottom w:w="0" w:type="dxa"/>
            <w:right w:w="108" w:type="dxa"/>
          </w:tblCellMar>
        </w:tblPrEx>
        <w:trPr>
          <w:trHeight w:val="37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38</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微生物基础</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56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40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16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color w:val="000000"/>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lang w:val="en-US" w:eastAsia="zh-CN" w:bidi="ar-SA"/>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lang w:val="en-US" w:eastAsia="zh-CN" w:bidi="ar-SA"/>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rPr>
              <w:t>中职校</w:t>
            </w:r>
          </w:p>
        </w:tc>
      </w:tr>
      <w:tr>
        <w:tblPrEx>
          <w:tblCellMar>
            <w:top w:w="0" w:type="dxa"/>
            <w:left w:w="108" w:type="dxa"/>
            <w:bottom w:w="0" w:type="dxa"/>
            <w:right w:w="108" w:type="dxa"/>
          </w:tblCellMar>
        </w:tblPrEx>
        <w:trPr>
          <w:trHeight w:val="37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39</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食品化学</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37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40</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rPr>
              <w:t>专业英语</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32</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32</w:t>
            </w:r>
          </w:p>
        </w:tc>
        <w:tc>
          <w:tcPr>
            <w:tcW w:w="60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eastAsiaTheme="minorEastAsia"/>
                <w:kern w:val="0"/>
                <w:sz w:val="24"/>
                <w:szCs w:val="22"/>
                <w:lang w:val="en-US" w:eastAsia="zh-CN" w:bidi="ar-SA"/>
              </w:rPr>
            </w:pPr>
            <w:r>
              <w:rPr>
                <w:rFonts w:hint="eastAsia" w:ascii="宋体" w:hAnsi="宋体" w:cs="宋体"/>
                <w:kern w:val="0"/>
                <w:sz w:val="24"/>
              </w:rPr>
              <w:t>　</w:t>
            </w: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3119" w:type="dxa"/>
            <w:gridSpan w:val="4"/>
            <w:tcBorders>
              <w:top w:val="single" w:color="auto" w:sz="4" w:space="0"/>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小计</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42</w:t>
            </w:r>
          </w:p>
        </w:tc>
        <w:tc>
          <w:tcPr>
            <w:tcW w:w="708"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728</w:t>
            </w:r>
          </w:p>
        </w:tc>
        <w:tc>
          <w:tcPr>
            <w:tcW w:w="674"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466</w:t>
            </w:r>
          </w:p>
        </w:tc>
        <w:tc>
          <w:tcPr>
            <w:tcW w:w="602"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262</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8</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2</w:t>
            </w:r>
          </w:p>
        </w:tc>
        <w:tc>
          <w:tcPr>
            <w:tcW w:w="579"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73"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专业核心课程</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必</w:t>
            </w:r>
            <w:r>
              <w:rPr>
                <w:rFonts w:ascii="Times New Roman" w:hAnsi="Times New Roman" w:eastAsia="宋体" w:cs="Times New Roman"/>
                <w:kern w:val="0"/>
                <w:sz w:val="18"/>
                <w:szCs w:val="18"/>
              </w:rPr>
              <w:br w:type="textWrapping"/>
            </w:r>
            <w:r>
              <w:rPr>
                <w:rFonts w:ascii="Times New Roman" w:hAnsi="Times New Roman" w:eastAsia="宋体" w:cs="Times New Roman"/>
                <w:kern w:val="0"/>
                <w:sz w:val="18"/>
                <w:szCs w:val="18"/>
              </w:rPr>
              <w:t>修</w:t>
            </w:r>
          </w:p>
        </w:tc>
        <w:tc>
          <w:tcPr>
            <w:tcW w:w="4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41</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食品理化检测技术</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56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32</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24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4</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中职校</w:t>
            </w: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42</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食品微生物</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56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32</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rPr>
            </w:pPr>
            <w:r>
              <w:rPr>
                <w:rFonts w:hint="eastAsia" w:ascii="宋体" w:hAnsi="宋体" w:eastAsia="宋体" w:cs="宋体"/>
                <w:kern w:val="0"/>
                <w:sz w:val="16"/>
                <w:szCs w:val="16"/>
              </w:rPr>
              <w:t>24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hint="eastAsia"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color w:val="000000"/>
                <w:kern w:val="0"/>
                <w:sz w:val="18"/>
                <w:szCs w:val="18"/>
                <w:lang w:val="en-US" w:eastAsia="zh-CN"/>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中职校</w:t>
            </w:r>
          </w:p>
        </w:tc>
      </w:tr>
      <w:tr>
        <w:tblPrEx>
          <w:tblCellMar>
            <w:top w:w="0" w:type="dxa"/>
            <w:left w:w="108" w:type="dxa"/>
            <w:bottom w:w="0" w:type="dxa"/>
            <w:right w:w="108" w:type="dxa"/>
          </w:tblCellMar>
        </w:tblPrEx>
        <w:trPr>
          <w:trHeight w:val="325"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43</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仪器分析（基础模块）</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108</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54</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中职校</w:t>
            </w:r>
          </w:p>
        </w:tc>
      </w:tr>
      <w:tr>
        <w:tblPrEx>
          <w:tblCellMar>
            <w:top w:w="0" w:type="dxa"/>
            <w:left w:w="108" w:type="dxa"/>
            <w:bottom w:w="0" w:type="dxa"/>
            <w:right w:w="108" w:type="dxa"/>
          </w:tblCellMar>
        </w:tblPrEx>
        <w:trPr>
          <w:trHeight w:val="330"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44</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◆仪器分析（提升模块）</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4</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高职校</w:t>
            </w:r>
          </w:p>
        </w:tc>
      </w:tr>
      <w:tr>
        <w:tblPrEx>
          <w:tblCellMar>
            <w:top w:w="0" w:type="dxa"/>
            <w:left w:w="108" w:type="dxa"/>
            <w:bottom w:w="0" w:type="dxa"/>
            <w:right w:w="108" w:type="dxa"/>
          </w:tblCellMar>
        </w:tblPrEx>
        <w:trPr>
          <w:trHeight w:val="320"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45</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食品掺伪鉴别检验</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ascii="Times New Roman" w:hAnsi="Times New Roman" w:eastAsia="宋体" w:cs="Times New Roman"/>
                <w:kern w:val="0"/>
                <w:sz w:val="18"/>
                <w:szCs w:val="18"/>
              </w:rPr>
              <w:t>3</w:t>
            </w:r>
            <w:r>
              <w:rPr>
                <w:rFonts w:hint="eastAsia" w:ascii="Times New Roman" w:hAnsi="Times New Roman" w:eastAsia="宋体" w:cs="Times New Roman"/>
                <w:kern w:val="0"/>
                <w:sz w:val="18"/>
                <w:szCs w:val="18"/>
                <w:lang w:val="en-US" w:eastAsia="zh-CN"/>
              </w:rPr>
              <w:t>.5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64</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4</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高职校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46</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食品法律法规与标准</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36</w:t>
            </w:r>
          </w:p>
        </w:tc>
        <w:tc>
          <w:tcPr>
            <w:tcW w:w="60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color w:val="000000"/>
                <w:kern w:val="0"/>
                <w:sz w:val="18"/>
                <w:szCs w:val="18"/>
                <w:lang w:eastAsia="zh-CN"/>
              </w:rPr>
            </w:pPr>
            <w:r>
              <w:rPr>
                <w:rFonts w:hint="eastAsia" w:ascii="Times New Roman" w:hAnsi="Times New Roman" w:eastAsia="宋体" w:cs="Times New Roman"/>
                <w:color w:val="000000"/>
                <w:kern w:val="0"/>
                <w:sz w:val="18"/>
                <w:szCs w:val="18"/>
                <w:lang w:val="en-US" w:eastAsia="zh-CN"/>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6"/>
                <w:szCs w:val="16"/>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47</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健康管理</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36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36</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bidi="ar-SA"/>
              </w:rPr>
              <w:t>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color w:val="000000"/>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color w:val="000000"/>
                <w:kern w:val="0"/>
                <w:sz w:val="18"/>
                <w:szCs w:val="18"/>
                <w:lang w:val="en-US" w:eastAsia="zh-CN"/>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lang w:val="en-US" w:eastAsia="zh-CN" w:bidi="ar-SA"/>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中职校</w:t>
            </w:r>
          </w:p>
        </w:tc>
      </w:tr>
      <w:tr>
        <w:tblPrEx>
          <w:tblCellMar>
            <w:top w:w="0" w:type="dxa"/>
            <w:left w:w="108" w:type="dxa"/>
            <w:bottom w:w="0" w:type="dxa"/>
            <w:right w:w="108" w:type="dxa"/>
          </w:tblCellMar>
        </w:tblPrEx>
        <w:trPr>
          <w:trHeight w:val="251"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48</w:t>
            </w:r>
          </w:p>
        </w:tc>
        <w:tc>
          <w:tcPr>
            <w:tcW w:w="425"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食品感官检验技术</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3</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56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40</w:t>
            </w: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rPr>
              <w:t>16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color w:val="000000"/>
                <w:kern w:val="0"/>
                <w:sz w:val="18"/>
                <w:szCs w:val="18"/>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rPr>
              <w:t>4</w:t>
            </w: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lang w:val="en-US" w:eastAsia="zh-CN" w:bidi="ar-SA"/>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714"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3119" w:type="dxa"/>
            <w:gridSpan w:val="4"/>
            <w:tcBorders>
              <w:top w:val="single" w:color="auto" w:sz="4" w:space="0"/>
              <w:left w:val="nil"/>
              <w:bottom w:val="single" w:color="auto" w:sz="4" w:space="0"/>
              <w:right w:val="single" w:color="000000"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小计（至少开设</w:t>
            </w:r>
            <w:r>
              <w:rPr>
                <w:rFonts w:ascii="Times New Roman" w:hAnsi="Times New Roman" w:eastAsia="宋体" w:cs="Times New Roman"/>
                <w:kern w:val="0"/>
                <w:sz w:val="18"/>
                <w:szCs w:val="18"/>
              </w:rPr>
              <w:t>2</w:t>
            </w:r>
            <w:r>
              <w:rPr>
                <w:rFonts w:hint="eastAsia" w:ascii="宋体" w:hAnsi="宋体" w:eastAsia="宋体" w:cs="Times New Roman"/>
                <w:kern w:val="0"/>
                <w:sz w:val="18"/>
                <w:szCs w:val="18"/>
              </w:rPr>
              <w:t>门－</w:t>
            </w:r>
            <w:r>
              <w:rPr>
                <w:rFonts w:ascii="Times New Roman" w:hAnsi="Times New Roman" w:eastAsia="宋体" w:cs="Times New Roman"/>
                <w:kern w:val="0"/>
                <w:sz w:val="18"/>
                <w:szCs w:val="18"/>
              </w:rPr>
              <w:t>3</w:t>
            </w:r>
            <w:r>
              <w:rPr>
                <w:rFonts w:hint="eastAsia" w:ascii="宋体" w:hAnsi="宋体" w:eastAsia="宋体" w:cs="Times New Roman"/>
                <w:kern w:val="0"/>
                <w:sz w:val="18"/>
                <w:szCs w:val="18"/>
              </w:rPr>
              <w:t>门融入创新教育相关专业课程，并用</w:t>
            </w:r>
            <w:r>
              <w:rPr>
                <w:rFonts w:ascii="Times New Roman" w:hAnsi="Times New Roman" w:eastAsia="宋体" w:cs="Times New Roman"/>
                <w:kern w:val="0"/>
                <w:sz w:val="18"/>
                <w:szCs w:val="18"/>
              </w:rPr>
              <w:t>“</w:t>
            </w:r>
            <w:r>
              <w:rPr>
                <w:rFonts w:hint="eastAsia" w:ascii="宋体" w:hAnsi="宋体" w:eastAsia="宋体" w:cs="Times New Roman"/>
                <w:kern w:val="0"/>
                <w:sz w:val="18"/>
                <w:szCs w:val="18"/>
              </w:rPr>
              <w:t>◆</w:t>
            </w:r>
            <w:r>
              <w:rPr>
                <w:rFonts w:ascii="Times New Roman" w:hAnsi="Times New Roman" w:eastAsia="宋体" w:cs="Times New Roman"/>
                <w:kern w:val="0"/>
                <w:sz w:val="18"/>
                <w:szCs w:val="18"/>
              </w:rPr>
              <w:t>”</w:t>
            </w:r>
            <w:r>
              <w:rPr>
                <w:rFonts w:hint="eastAsia" w:ascii="宋体" w:hAnsi="宋体" w:eastAsia="宋体" w:cs="Times New Roman"/>
                <w:kern w:val="0"/>
                <w:sz w:val="18"/>
                <w:szCs w:val="18"/>
              </w:rPr>
              <w:t>标注，计</w:t>
            </w:r>
            <w:r>
              <w:rPr>
                <w:rFonts w:ascii="Times New Roman" w:hAnsi="Times New Roman" w:eastAsia="宋体" w:cs="Times New Roman"/>
                <w:kern w:val="0"/>
                <w:sz w:val="18"/>
                <w:szCs w:val="18"/>
              </w:rPr>
              <w:t>8</w:t>
            </w:r>
            <w:r>
              <w:rPr>
                <w:rFonts w:hint="eastAsia" w:ascii="宋体" w:hAnsi="宋体" w:eastAsia="宋体" w:cs="Times New Roman"/>
                <w:kern w:val="0"/>
                <w:sz w:val="18"/>
                <w:szCs w:val="18"/>
              </w:rPr>
              <w:t>学分）</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25.5</w:t>
            </w:r>
          </w:p>
        </w:tc>
        <w:tc>
          <w:tcPr>
            <w:tcW w:w="708"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468</w:t>
            </w:r>
          </w:p>
        </w:tc>
        <w:tc>
          <w:tcPr>
            <w:tcW w:w="674"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290</w:t>
            </w:r>
          </w:p>
        </w:tc>
        <w:tc>
          <w:tcPr>
            <w:tcW w:w="602"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178</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8</w:t>
            </w:r>
          </w:p>
        </w:tc>
        <w:tc>
          <w:tcPr>
            <w:tcW w:w="567"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12</w:t>
            </w:r>
          </w:p>
        </w:tc>
        <w:tc>
          <w:tcPr>
            <w:tcW w:w="579" w:type="dxa"/>
            <w:tcBorders>
              <w:top w:val="nil"/>
              <w:left w:val="nil"/>
              <w:bottom w:val="single" w:color="auto" w:sz="4" w:space="0"/>
              <w:right w:val="single" w:color="auto" w:sz="4" w:space="0"/>
            </w:tcBorders>
            <w:shd w:val="clear" w:color="000000" w:fill="F2F2F2"/>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573" w:type="dxa"/>
            <w:tcBorders>
              <w:top w:val="nil"/>
              <w:left w:val="nil"/>
              <w:bottom w:val="single" w:color="auto" w:sz="4" w:space="0"/>
              <w:right w:val="single" w:color="auto" w:sz="4" w:space="0"/>
            </w:tcBorders>
            <w:shd w:val="clear" w:color="000000" w:fill="F2F2F2"/>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专业拓展课程</w:t>
            </w:r>
          </w:p>
        </w:tc>
        <w:tc>
          <w:tcPr>
            <w:tcW w:w="425" w:type="dxa"/>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eastAsia="zh-CN"/>
              </w:rPr>
              <w:t>必修</w:t>
            </w: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49</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信息技术在专业中的应用</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27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restart"/>
            <w:tcBorders>
              <w:top w:val="single" w:color="auto" w:sz="4" w:space="0"/>
              <w:left w:val="single" w:color="auto" w:sz="4" w:space="0"/>
              <w:right w:val="single" w:color="auto" w:sz="4" w:space="0"/>
            </w:tcBorders>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宋体" w:hAnsi="宋体" w:eastAsia="宋体" w:cs="宋体"/>
                <w:kern w:val="0"/>
                <w:sz w:val="16"/>
                <w:szCs w:val="16"/>
                <w:lang w:eastAsia="zh-CN"/>
              </w:rPr>
              <w:t>选修</w:t>
            </w: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50</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食品营养与卫生</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27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51</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食品企业管理</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52</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生物化学</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27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53</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食品添加剂</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54</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分析检验的质量保证与计量认证</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left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55</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eastAsia="zh-CN"/>
              </w:rPr>
              <w:t>企业文化与职业素养</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r>
              <w:rPr>
                <w:rFonts w:hint="eastAsia" w:ascii="宋体" w:hAnsi="宋体" w:cs="宋体"/>
                <w:kern w:val="0"/>
                <w:sz w:val="16"/>
                <w:szCs w:val="16"/>
                <w:lang w:val="en-US" w:eastAsia="zh-CN"/>
              </w:rPr>
              <w:t>2</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eastAsia="zh-CN"/>
              </w:rPr>
              <w:t>中职校</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56</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食品工艺原理</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262"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57</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食品贮运技术</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58</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食品毒理学基础</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59</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食品包装技术</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　</w:t>
            </w:r>
          </w:p>
        </w:tc>
        <w:tc>
          <w:tcPr>
            <w:tcW w:w="57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Times New Roman" w:hAnsi="Times New Roman" w:eastAsia="宋体" w:cs="Times New Roman"/>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化工系</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60</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实验室组织与管理</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rPr>
            </w:pPr>
            <w:r>
              <w:rPr>
                <w:rFonts w:hint="eastAsia" w:ascii="宋体" w:hAnsi="宋体" w:cs="宋体"/>
                <w:kern w:val="0"/>
                <w:sz w:val="16"/>
                <w:szCs w:val="16"/>
                <w:lang w:val="en-US" w:eastAsia="zh-CN"/>
              </w:rPr>
              <w:t>2</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eastAsia="zh-CN"/>
              </w:rPr>
            </w:pPr>
            <w:r>
              <w:rPr>
                <w:rFonts w:hint="eastAsia" w:ascii="宋体" w:hAnsi="宋体" w:cs="宋体"/>
                <w:kern w:val="0"/>
                <w:sz w:val="16"/>
                <w:szCs w:val="16"/>
                <w:lang w:eastAsia="zh-CN"/>
              </w:rPr>
              <w:t>中职校</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tcBorders>
              <w:left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61</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eastAsia" w:ascii="宋体" w:hAnsi="宋体" w:eastAsia="宋体" w:cs="宋体"/>
                <w:kern w:val="0"/>
                <w:sz w:val="16"/>
                <w:szCs w:val="16"/>
                <w:lang w:eastAsia="zh-CN"/>
              </w:rPr>
            </w:pPr>
            <w:r>
              <w:rPr>
                <w:rFonts w:hint="eastAsia" w:ascii="宋体" w:hAnsi="宋体" w:eastAsia="宋体" w:cs="宋体"/>
                <w:kern w:val="0"/>
                <w:sz w:val="16"/>
                <w:szCs w:val="16"/>
                <w:lang w:eastAsia="zh-CN"/>
              </w:rPr>
              <w:t>污水处理工艺</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7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eastAsiaTheme="minorEastAsia"/>
                <w:kern w:val="0"/>
                <w:sz w:val="16"/>
                <w:szCs w:val="16"/>
                <w:lang w:val="en-US" w:eastAsia="zh-CN" w:bidi="ar-SA"/>
              </w:rPr>
              <w:t>36</w:t>
            </w:r>
          </w:p>
        </w:tc>
        <w:tc>
          <w:tcPr>
            <w:tcW w:w="60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rPr>
            </w:pPr>
            <w:r>
              <w:rPr>
                <w:rFonts w:hint="eastAsia" w:ascii="宋体" w:hAnsi="宋体" w:cs="宋体"/>
                <w:kern w:val="0"/>
                <w:sz w:val="16"/>
                <w:szCs w:val="16"/>
                <w:lang w:val="en-US" w:eastAsia="zh-CN"/>
              </w:rPr>
              <w:t>2</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rPr>
              <w:t>考试</w:t>
            </w:r>
          </w:p>
        </w:tc>
        <w:tc>
          <w:tcPr>
            <w:tcW w:w="87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6"/>
                <w:szCs w:val="16"/>
              </w:rPr>
            </w:pPr>
            <w:r>
              <w:rPr>
                <w:rFonts w:hint="eastAsia" w:ascii="宋体" w:hAnsi="宋体" w:cs="宋体"/>
                <w:kern w:val="0"/>
                <w:sz w:val="16"/>
                <w:szCs w:val="16"/>
                <w:lang w:eastAsia="zh-CN"/>
              </w:rPr>
              <w:t>中职校</w:t>
            </w:r>
          </w:p>
        </w:tc>
      </w:tr>
      <w:tr>
        <w:tblPrEx>
          <w:tblCellMar>
            <w:top w:w="0" w:type="dxa"/>
            <w:left w:w="108" w:type="dxa"/>
            <w:bottom w:w="0" w:type="dxa"/>
            <w:right w:w="108" w:type="dxa"/>
          </w:tblCellMar>
        </w:tblPrEx>
        <w:trPr>
          <w:trHeight w:val="320"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3119" w:type="dxa"/>
            <w:gridSpan w:val="4"/>
            <w:tcBorders>
              <w:top w:val="single" w:color="auto" w:sz="4" w:space="0"/>
              <w:left w:val="nil"/>
              <w:bottom w:val="single" w:color="auto" w:sz="4" w:space="0"/>
              <w:right w:val="single" w:color="000000"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cs="宋体"/>
                <w:kern w:val="0"/>
                <w:sz w:val="18"/>
                <w:szCs w:val="18"/>
              </w:rPr>
              <w:t>小计（至少取得</w:t>
            </w:r>
            <w:r>
              <w:rPr>
                <w:rFonts w:hint="eastAsia" w:ascii="宋体" w:hAnsi="宋体" w:cs="宋体"/>
                <w:kern w:val="0"/>
                <w:sz w:val="18"/>
                <w:szCs w:val="18"/>
                <w:lang w:val="en-US" w:eastAsia="zh-CN"/>
              </w:rPr>
              <w:t>12</w:t>
            </w:r>
            <w:r>
              <w:rPr>
                <w:rFonts w:hint="eastAsia" w:ascii="宋体" w:hAnsi="宋体" w:cs="宋体"/>
                <w:kern w:val="0"/>
                <w:sz w:val="18"/>
                <w:szCs w:val="18"/>
              </w:rPr>
              <w:t>学分）</w:t>
            </w: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w:t>
            </w:r>
          </w:p>
        </w:tc>
        <w:tc>
          <w:tcPr>
            <w:tcW w:w="708"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216</w:t>
            </w:r>
          </w:p>
        </w:tc>
        <w:tc>
          <w:tcPr>
            <w:tcW w:w="674"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216</w:t>
            </w:r>
          </w:p>
        </w:tc>
        <w:tc>
          <w:tcPr>
            <w:tcW w:w="602"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4</w:t>
            </w: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hint="eastAsia" w:ascii="Times New Roman" w:hAnsi="Times New Roman" w:eastAsia="宋体" w:cs="Times New Roman"/>
                <w:kern w:val="0"/>
                <w:sz w:val="18"/>
                <w:szCs w:val="18"/>
                <w:lang w:eastAsia="zh-CN"/>
              </w:rPr>
            </w:pPr>
            <w:r>
              <w:rPr>
                <w:rFonts w:hint="eastAsia" w:ascii="Times New Roman" w:hAnsi="Times New Roman" w:eastAsia="宋体" w:cs="Times New Roman"/>
                <w:kern w:val="0"/>
                <w:sz w:val="18"/>
                <w:szCs w:val="18"/>
                <w:lang w:val="en-US" w:eastAsia="zh-CN"/>
              </w:rPr>
              <w:t>8</w:t>
            </w:r>
          </w:p>
        </w:tc>
        <w:tc>
          <w:tcPr>
            <w:tcW w:w="579"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w:t>
            </w:r>
          </w:p>
        </w:tc>
        <w:tc>
          <w:tcPr>
            <w:tcW w:w="573" w:type="dxa"/>
            <w:tcBorders>
              <w:top w:val="nil"/>
              <w:left w:val="nil"/>
              <w:bottom w:val="single" w:color="auto" w:sz="4" w:space="0"/>
              <w:right w:val="single" w:color="auto" w:sz="4" w:space="0"/>
            </w:tcBorders>
            <w:shd w:val="clear" w:color="000000" w:fill="E4DFEC"/>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集中实践性教学课程</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必修</w:t>
            </w: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62</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入学教育</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674"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中高职</w:t>
            </w: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63</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军训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674"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中高职</w:t>
            </w: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64</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社会实践</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52</w:t>
            </w:r>
          </w:p>
        </w:tc>
        <w:tc>
          <w:tcPr>
            <w:tcW w:w="674"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中高职</w:t>
            </w:r>
          </w:p>
        </w:tc>
      </w:tr>
      <w:tr>
        <w:tblPrEx>
          <w:tblCellMar>
            <w:top w:w="0" w:type="dxa"/>
            <w:left w:w="108" w:type="dxa"/>
            <w:bottom w:w="0" w:type="dxa"/>
            <w:right w:w="108" w:type="dxa"/>
          </w:tblCellMar>
        </w:tblPrEx>
        <w:trPr>
          <w:trHeight w:val="2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65</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劳动</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0.5</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13</w:t>
            </w:r>
          </w:p>
        </w:tc>
        <w:tc>
          <w:tcPr>
            <w:tcW w:w="674"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5"/>
                <w:szCs w:val="15"/>
              </w:rPr>
            </w:pPr>
            <w:r>
              <w:rPr>
                <w:rFonts w:ascii="Times New Roman" w:hAnsi="Times New Roman" w:eastAsia="宋体" w:cs="Times New Roman"/>
                <w:kern w:val="0"/>
                <w:sz w:val="15"/>
                <w:szCs w:val="15"/>
              </w:rPr>
              <w:t>0.5W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中高职</w:t>
            </w: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66</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实习教育</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674"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高职校</w:t>
            </w:r>
          </w:p>
        </w:tc>
      </w:tr>
      <w:tr>
        <w:tblPrEx>
          <w:tblCellMar>
            <w:top w:w="0" w:type="dxa"/>
            <w:left w:w="108" w:type="dxa"/>
            <w:bottom w:w="0" w:type="dxa"/>
            <w:right w:w="108" w:type="dxa"/>
          </w:tblCellMar>
        </w:tblPrEx>
        <w:trPr>
          <w:trHeight w:val="30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67</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毕业教育</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674"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67"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24"/>
                <w:szCs w:val="24"/>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高职校</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68</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基础化学技能实训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中职校</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69</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化学分析技能实训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w:t>
            </w:r>
            <w:r>
              <w:rPr>
                <w:rFonts w:hint="eastAsia" w:ascii="宋体" w:hAnsi="宋体" w:eastAsia="宋体" w:cs="宋体"/>
                <w:kern w:val="0"/>
                <w:sz w:val="18"/>
                <w:szCs w:val="18"/>
                <w:lang w:val="en-US" w:eastAsia="zh-CN"/>
              </w:rPr>
              <w:t>/高</w:t>
            </w:r>
            <w:r>
              <w:rPr>
                <w:rFonts w:hint="eastAsia" w:ascii="宋体" w:hAnsi="宋体" w:eastAsia="宋体" w:cs="宋体"/>
                <w:kern w:val="0"/>
                <w:sz w:val="18"/>
                <w:szCs w:val="18"/>
              </w:rPr>
              <w:t>职校</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70</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仪器分析技能实训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w:t>
            </w:r>
            <w:r>
              <w:rPr>
                <w:rFonts w:hint="eastAsia" w:ascii="宋体" w:hAnsi="宋体" w:eastAsia="宋体" w:cs="宋体"/>
                <w:kern w:val="0"/>
                <w:sz w:val="18"/>
                <w:szCs w:val="18"/>
                <w:lang w:val="en-US" w:eastAsia="zh-CN"/>
              </w:rPr>
              <w:t>/高</w:t>
            </w:r>
            <w:r>
              <w:rPr>
                <w:rFonts w:hint="eastAsia" w:ascii="宋体" w:hAnsi="宋体" w:eastAsia="宋体" w:cs="宋体"/>
                <w:kern w:val="0"/>
                <w:sz w:val="18"/>
                <w:szCs w:val="18"/>
              </w:rPr>
              <w:t>职校</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71</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现代仪器分析仿真实训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高职校</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72</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企业岗位认识实习</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26</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高职校</w:t>
            </w:r>
          </w:p>
        </w:tc>
      </w:tr>
      <w:tr>
        <w:tblPrEx>
          <w:tblCellMar>
            <w:top w:w="0" w:type="dxa"/>
            <w:left w:w="108" w:type="dxa"/>
            <w:bottom w:w="0" w:type="dxa"/>
            <w:right w:w="108" w:type="dxa"/>
          </w:tblCellMar>
        </w:tblPrEx>
        <w:trPr>
          <w:trHeight w:val="408"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73</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宋体" w:hAnsi="宋体" w:eastAsia="宋体" w:cs="宋体"/>
                <w:kern w:val="0"/>
                <w:sz w:val="16"/>
                <w:szCs w:val="16"/>
              </w:rPr>
            </w:pPr>
            <w:r>
              <w:rPr>
                <w:rFonts w:hint="eastAsia" w:ascii="宋体" w:hAnsi="宋体" w:eastAsia="宋体" w:cs="宋体"/>
                <w:kern w:val="0"/>
                <w:sz w:val="16"/>
                <w:szCs w:val="16"/>
              </w:rPr>
              <w:t>食品专项技能实训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52</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52</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w:t>
            </w:r>
            <w:r>
              <w:rPr>
                <w:rFonts w:ascii="Times New Roman" w:hAnsi="Times New Roman" w:eastAsia="宋体" w:cs="Times New Roman"/>
                <w:kern w:val="0"/>
                <w:sz w:val="18"/>
                <w:szCs w:val="18"/>
              </w:rPr>
              <w:t>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高职校</w:t>
            </w:r>
          </w:p>
        </w:tc>
      </w:tr>
      <w:tr>
        <w:tblPrEx>
          <w:tblCellMar>
            <w:top w:w="0" w:type="dxa"/>
            <w:left w:w="108" w:type="dxa"/>
            <w:bottom w:w="0" w:type="dxa"/>
            <w:right w:w="108" w:type="dxa"/>
          </w:tblCellMar>
        </w:tblPrEx>
        <w:trPr>
          <w:trHeight w:val="276"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74</w:t>
            </w:r>
          </w:p>
        </w:tc>
        <w:tc>
          <w:tcPr>
            <w:tcW w:w="425"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校内综合实训</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540</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540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18W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中职校</w:t>
            </w:r>
          </w:p>
        </w:tc>
      </w:tr>
      <w:tr>
        <w:tblPrEx>
          <w:tblCellMar>
            <w:top w:w="0" w:type="dxa"/>
            <w:left w:w="108" w:type="dxa"/>
            <w:bottom w:w="0" w:type="dxa"/>
            <w:right w:w="108" w:type="dxa"/>
          </w:tblCellMar>
        </w:tblPrEx>
        <w:trPr>
          <w:trHeight w:val="437"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426"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Times New Roman" w:hAnsi="Times New Roman" w:eastAsia="宋体" w:cs="Times New Roman"/>
                <w:kern w:val="0"/>
                <w:sz w:val="24"/>
                <w:szCs w:val="24"/>
              </w:rPr>
            </w:pPr>
            <w:r>
              <w:rPr>
                <w:rFonts w:hint="default" w:ascii="Times New Roman" w:hAnsi="Times New Roman" w:eastAsia="宋体" w:cs="Times New Roman"/>
                <w:i w:val="0"/>
                <w:color w:val="000000"/>
                <w:kern w:val="0"/>
                <w:sz w:val="18"/>
                <w:szCs w:val="18"/>
                <w:u w:val="none"/>
                <w:lang w:val="en-US" w:eastAsia="zh-CN" w:bidi="ar"/>
              </w:rPr>
              <w:t>75</w:t>
            </w:r>
          </w:p>
        </w:tc>
        <w:tc>
          <w:tcPr>
            <w:tcW w:w="425" w:type="dxa"/>
            <w:tcBorders>
              <w:top w:val="nil"/>
              <w:left w:val="single" w:color="auto" w:sz="4" w:space="0"/>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顶岗实习（含毕业设计）</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24</w:t>
            </w:r>
          </w:p>
        </w:tc>
        <w:tc>
          <w:tcPr>
            <w:tcW w:w="708"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720</w:t>
            </w:r>
          </w:p>
        </w:tc>
        <w:tc>
          <w:tcPr>
            <w:tcW w:w="674"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602"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720</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8W</w:t>
            </w:r>
          </w:p>
        </w:tc>
        <w:tc>
          <w:tcPr>
            <w:tcW w:w="579"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16W</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 w:val="16"/>
                <w:szCs w:val="16"/>
                <w:lang w:val="en-US" w:eastAsia="zh-CN" w:bidi="ar-SA"/>
              </w:rPr>
            </w:pPr>
            <w:r>
              <w:rPr>
                <w:rFonts w:hint="eastAsia" w:ascii="宋体" w:hAnsi="宋体" w:cs="宋体"/>
                <w:kern w:val="0"/>
                <w:sz w:val="16"/>
                <w:szCs w:val="16"/>
                <w:lang w:val="en-US" w:eastAsia="zh-CN" w:bidi="ar-SA"/>
              </w:rPr>
              <w:t>考查</w:t>
            </w: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r>
              <w:rPr>
                <w:rFonts w:hint="eastAsia" w:ascii="宋体" w:hAnsi="宋体" w:eastAsia="宋体" w:cs="宋体"/>
                <w:kern w:val="0"/>
                <w:sz w:val="18"/>
                <w:szCs w:val="18"/>
              </w:rPr>
              <w:t>企业</w:t>
            </w:r>
          </w:p>
        </w:tc>
      </w:tr>
      <w:tr>
        <w:tblPrEx>
          <w:tblCellMar>
            <w:top w:w="0" w:type="dxa"/>
            <w:left w:w="108" w:type="dxa"/>
            <w:bottom w:w="0" w:type="dxa"/>
            <w:right w:w="108" w:type="dxa"/>
          </w:tblCellMar>
        </w:tblPrEx>
        <w:trPr>
          <w:trHeight w:val="262"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425"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Times New Roman" w:hAnsi="Times New Roman" w:eastAsia="宋体" w:cs="Times New Roman"/>
                <w:kern w:val="0"/>
                <w:sz w:val="18"/>
                <w:szCs w:val="18"/>
              </w:rPr>
            </w:pPr>
          </w:p>
        </w:tc>
        <w:tc>
          <w:tcPr>
            <w:tcW w:w="311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小计</w:t>
            </w:r>
          </w:p>
        </w:tc>
        <w:tc>
          <w:tcPr>
            <w:tcW w:w="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57.5</w:t>
            </w:r>
          </w:p>
        </w:tc>
        <w:tc>
          <w:tcPr>
            <w:tcW w:w="7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1663</w:t>
            </w:r>
          </w:p>
        </w:tc>
        <w:tc>
          <w:tcPr>
            <w:tcW w:w="67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0</w:t>
            </w:r>
          </w:p>
        </w:tc>
        <w:tc>
          <w:tcPr>
            <w:tcW w:w="60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1663</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1.5W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ascii="Times New Roman" w:hAnsi="Times New Roman" w:eastAsia="宋体" w:cs="Times New Roman"/>
                <w:color w:val="000000"/>
                <w:kern w:val="0"/>
                <w:sz w:val="18"/>
                <w:szCs w:val="18"/>
              </w:rPr>
            </w:pP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18W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5W</w:t>
            </w:r>
          </w:p>
        </w:tc>
        <w:tc>
          <w:tcPr>
            <w:tcW w:w="567" w:type="dxa"/>
            <w:tcBorders>
              <w:top w:val="nil"/>
              <w:left w:val="nil"/>
              <w:bottom w:val="single" w:color="auto" w:sz="4" w:space="0"/>
              <w:right w:val="single" w:color="auto" w:sz="4" w:space="0"/>
            </w:tcBorders>
            <w:shd w:val="clear" w:color="auto" w:fill="auto"/>
            <w:vAlign w:val="center"/>
          </w:tcPr>
          <w:p>
            <w:pPr>
              <w:widowControl/>
              <w:spacing w:line="0" w:lineRule="atLeast"/>
              <w:jc w:val="center"/>
              <w:rPr>
                <w:rFonts w:hint="default"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10W</w:t>
            </w:r>
          </w:p>
        </w:tc>
        <w:tc>
          <w:tcPr>
            <w:tcW w:w="579"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hint="default"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17W</w:t>
            </w:r>
          </w:p>
        </w:tc>
        <w:tc>
          <w:tcPr>
            <w:tcW w:w="573"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62" w:hRule="atLeast"/>
        </w:trPr>
        <w:tc>
          <w:tcPr>
            <w:tcW w:w="421"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eastAsia="宋体" w:cs="宋体"/>
                <w:kern w:val="0"/>
                <w:sz w:val="18"/>
                <w:szCs w:val="18"/>
              </w:rPr>
            </w:pPr>
          </w:p>
        </w:tc>
        <w:tc>
          <w:tcPr>
            <w:tcW w:w="1701" w:type="dxa"/>
            <w:gridSpan w:val="4"/>
            <w:tcBorders>
              <w:top w:val="single" w:color="auto" w:sz="4" w:space="0"/>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合计</w:t>
            </w:r>
          </w:p>
        </w:tc>
        <w:tc>
          <w:tcPr>
            <w:tcW w:w="425"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p>
        </w:tc>
        <w:tc>
          <w:tcPr>
            <w:tcW w:w="1843"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6"/>
                <w:szCs w:val="16"/>
              </w:rPr>
            </w:pP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137</w:t>
            </w:r>
          </w:p>
        </w:tc>
        <w:tc>
          <w:tcPr>
            <w:tcW w:w="708"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3075</w:t>
            </w:r>
          </w:p>
        </w:tc>
        <w:tc>
          <w:tcPr>
            <w:tcW w:w="674"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972</w:t>
            </w:r>
          </w:p>
        </w:tc>
        <w:tc>
          <w:tcPr>
            <w:tcW w:w="602"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2103</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12</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6</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18</w:t>
            </w:r>
          </w:p>
        </w:tc>
        <w:tc>
          <w:tcPr>
            <w:tcW w:w="567"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22</w:t>
            </w:r>
          </w:p>
        </w:tc>
        <w:tc>
          <w:tcPr>
            <w:tcW w:w="579"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hint="eastAsia" w:ascii="Times New Roman" w:hAnsi="Times New Roman" w:eastAsia="宋体" w:cs="Times New Roman"/>
                <w:kern w:val="0"/>
                <w:sz w:val="18"/>
                <w:szCs w:val="18"/>
                <w:lang w:val="en-US" w:eastAsia="zh-CN"/>
              </w:rPr>
            </w:pPr>
            <w:r>
              <w:rPr>
                <w:rFonts w:hint="eastAsia" w:ascii="Times New Roman" w:hAnsi="Times New Roman" w:eastAsia="宋体" w:cs="Times New Roman"/>
                <w:kern w:val="0"/>
                <w:sz w:val="18"/>
                <w:szCs w:val="18"/>
                <w:lang w:val="en-US" w:eastAsia="zh-CN"/>
              </w:rPr>
              <w:t>0</w:t>
            </w:r>
          </w:p>
        </w:tc>
        <w:tc>
          <w:tcPr>
            <w:tcW w:w="573" w:type="dxa"/>
            <w:tcBorders>
              <w:top w:val="nil"/>
              <w:left w:val="nil"/>
              <w:bottom w:val="single" w:color="auto" w:sz="4" w:space="0"/>
              <w:right w:val="single" w:color="auto" w:sz="4" w:space="0"/>
            </w:tcBorders>
            <w:shd w:val="clear" w:color="000000" w:fill="FDE9D9"/>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251" w:hRule="atLeast"/>
        </w:trPr>
        <w:tc>
          <w:tcPr>
            <w:tcW w:w="4390" w:type="dxa"/>
            <w:gridSpan w:val="7"/>
            <w:tcBorders>
              <w:top w:val="single" w:color="auto" w:sz="4" w:space="0"/>
              <w:left w:val="single" w:color="auto" w:sz="4" w:space="0"/>
              <w:bottom w:val="single" w:color="auto" w:sz="4" w:space="0"/>
              <w:right w:val="single" w:color="000000"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宋体" w:hAnsi="宋体" w:eastAsia="宋体" w:cs="Times New Roman"/>
                <w:kern w:val="0"/>
                <w:sz w:val="18"/>
                <w:szCs w:val="18"/>
              </w:rPr>
              <w:t>总时数及周时数</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244</w:t>
            </w:r>
          </w:p>
        </w:tc>
        <w:tc>
          <w:tcPr>
            <w:tcW w:w="708"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4891</w:t>
            </w:r>
          </w:p>
        </w:tc>
        <w:tc>
          <w:tcPr>
            <w:tcW w:w="674"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2233</w:t>
            </w:r>
          </w:p>
        </w:tc>
        <w:tc>
          <w:tcPr>
            <w:tcW w:w="602"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2658</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23</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25</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25</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23</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14</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0</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27</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29</w:t>
            </w:r>
          </w:p>
        </w:tc>
        <w:tc>
          <w:tcPr>
            <w:tcW w:w="567"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23</w:t>
            </w:r>
          </w:p>
        </w:tc>
        <w:tc>
          <w:tcPr>
            <w:tcW w:w="579" w:type="dxa"/>
            <w:tcBorders>
              <w:top w:val="nil"/>
              <w:left w:val="nil"/>
              <w:bottom w:val="single" w:color="auto" w:sz="4" w:space="0"/>
              <w:right w:val="single" w:color="auto" w:sz="4" w:space="0"/>
            </w:tcBorders>
            <w:shd w:val="clear" w:color="000000" w:fill="DAEEF3"/>
            <w:vAlign w:val="center"/>
          </w:tcPr>
          <w:p>
            <w:pPr>
              <w:widowControl/>
              <w:spacing w:line="0" w:lineRule="atLeast"/>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lang w:val="en-US" w:eastAsia="zh-CN"/>
              </w:rPr>
              <w:t>0</w:t>
            </w:r>
          </w:p>
        </w:tc>
        <w:tc>
          <w:tcPr>
            <w:tcW w:w="573" w:type="dxa"/>
            <w:tcBorders>
              <w:top w:val="nil"/>
              <w:left w:val="nil"/>
              <w:bottom w:val="single" w:color="auto" w:sz="4" w:space="0"/>
              <w:right w:val="single" w:color="auto" w:sz="4" w:space="0"/>
            </w:tcBorders>
            <w:shd w:val="clear" w:color="000000" w:fill="DAEEF3"/>
            <w:noWrap/>
            <w:vAlign w:val="center"/>
          </w:tcPr>
          <w:p>
            <w:pPr>
              <w:widowControl/>
              <w:spacing w:line="0" w:lineRule="atLeast"/>
              <w:jc w:val="center"/>
              <w:rPr>
                <w:rFonts w:ascii="Times New Roman" w:hAnsi="Times New Roman" w:eastAsia="宋体" w:cs="Times New Roman"/>
                <w:kern w:val="0"/>
                <w:sz w:val="18"/>
                <w:szCs w:val="18"/>
              </w:rPr>
            </w:pPr>
          </w:p>
        </w:tc>
        <w:tc>
          <w:tcPr>
            <w:tcW w:w="872" w:type="dxa"/>
            <w:tcBorders>
              <w:top w:val="nil"/>
              <w:left w:val="nil"/>
              <w:bottom w:val="single" w:color="auto" w:sz="4" w:space="0"/>
              <w:right w:val="single" w:color="auto" w:sz="4" w:space="0"/>
            </w:tcBorders>
            <w:shd w:val="clear" w:color="auto" w:fill="auto"/>
            <w:noWrap/>
            <w:vAlign w:val="center"/>
          </w:tcPr>
          <w:p>
            <w:pPr>
              <w:widowControl/>
              <w:spacing w:line="0" w:lineRule="atLeast"/>
              <w:jc w:val="center"/>
              <w:rPr>
                <w:rFonts w:ascii="宋体" w:hAnsi="宋体" w:eastAsia="宋体" w:cs="宋体"/>
                <w:kern w:val="0"/>
                <w:sz w:val="24"/>
                <w:szCs w:val="24"/>
              </w:rPr>
            </w:pPr>
          </w:p>
        </w:tc>
      </w:tr>
    </w:tbl>
    <w:p>
      <w:pPr>
        <w:ind w:firstLine="420" w:firstLineChars="200"/>
        <w:rPr>
          <w:rFonts w:ascii="Times New Roman" w:hAnsi="Times New Roman" w:eastAsia="宋体" w:cs="Times New Roman"/>
          <w:sz w:val="24"/>
          <w:szCs w:val="24"/>
        </w:rPr>
      </w:pPr>
      <w:r>
        <w:rPr>
          <w:rFonts w:hint="eastAsia" w:ascii="Times New Roman" w:hAnsi="Times New Roman" w:eastAsia="宋体" w:cs="Times New Roman"/>
          <w:szCs w:val="21"/>
          <w:lang w:val="en-US" w:eastAsia="zh-CN"/>
        </w:rPr>
        <w:t>备注：</w:t>
      </w:r>
      <w:r>
        <w:rPr>
          <w:rFonts w:ascii="Times New Roman" w:hAnsi="Times New Roman" w:eastAsia="宋体" w:cs="Times New Roman"/>
          <w:szCs w:val="21"/>
        </w:rPr>
        <w:t>1、标注“√”的课程，采用课堂授课、讲座、网络授课、专项活动等形式。授课、专项活动等形式。2、专业群公共课程，在课程名称前加</w:t>
      </w:r>
      <w:r>
        <w:rPr>
          <w:rFonts w:ascii="Segoe UI Symbol" w:hAnsi="Segoe UI Symbol" w:eastAsia="宋体" w:cs="Segoe UI Symbol"/>
          <w:szCs w:val="21"/>
        </w:rPr>
        <w:t>★</w:t>
      </w:r>
      <w:r>
        <w:rPr>
          <w:rFonts w:ascii="Times New Roman" w:hAnsi="Times New Roman" w:eastAsia="宋体" w:cs="Times New Roman"/>
          <w:szCs w:val="21"/>
        </w:rPr>
        <w:t>表示；融入创新教育相关专业课程，用“</w:t>
      </w:r>
      <w:r>
        <w:rPr>
          <w:rFonts w:hint="eastAsia" w:ascii="宋体" w:hAnsi="宋体" w:eastAsia="宋体" w:cs="宋体"/>
          <w:szCs w:val="21"/>
        </w:rPr>
        <w:t>◆</w:t>
      </w:r>
      <w:r>
        <w:rPr>
          <w:rFonts w:ascii="Times New Roman" w:hAnsi="Times New Roman" w:eastAsia="宋体" w:cs="Times New Roman"/>
          <w:szCs w:val="21"/>
        </w:rPr>
        <w:t>”标注。3、根据教学进度、教学要求和实际需要，每学年可组织一至二次专业知识讲座或企业参观。</w:t>
      </w:r>
    </w:p>
    <w:p>
      <w:pPr>
        <w:spacing w:line="460" w:lineRule="exact"/>
        <w:ind w:firstLine="480" w:firstLineChars="200"/>
        <w:rPr>
          <w:rFonts w:ascii="Times New Roman" w:hAnsi="Times New Roman" w:eastAsia="宋体" w:cs="Times New Roman"/>
          <w:sz w:val="24"/>
          <w:szCs w:val="24"/>
        </w:rPr>
        <w:sectPr>
          <w:pgSz w:w="16838" w:h="11906" w:orient="landscape"/>
          <w:pgMar w:top="1797" w:right="1440" w:bottom="1797" w:left="1440" w:header="851" w:footer="992" w:gutter="0"/>
          <w:cols w:space="425" w:num="1"/>
          <w:docGrid w:linePitch="312" w:charSpace="0"/>
        </w:sectPr>
      </w:pPr>
    </w:p>
    <w:p>
      <w:pPr>
        <w:spacing w:line="460" w:lineRule="exact"/>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2</w:t>
      </w:r>
      <w:r>
        <w:rPr>
          <w:rFonts w:hint="eastAsia" w:ascii="Times New Roman" w:hAnsi="Times New Roman" w:eastAsia="宋体" w:cs="Times New Roman"/>
          <w:b/>
          <w:bCs/>
          <w:sz w:val="24"/>
          <w:szCs w:val="24"/>
        </w:rPr>
        <w:t>、课程学时比例</w:t>
      </w:r>
    </w:p>
    <w:p>
      <w:pPr>
        <w:spacing w:line="312"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本专业课时总数为</w:t>
      </w:r>
      <w:r>
        <w:rPr>
          <w:rFonts w:ascii="Times New Roman" w:hAnsi="Times New Roman" w:eastAsia="宋体" w:cs="Times New Roman"/>
          <w:sz w:val="24"/>
          <w:szCs w:val="24"/>
          <w:u w:val="single"/>
        </w:rPr>
        <w:t>48</w:t>
      </w:r>
      <w:r>
        <w:rPr>
          <w:rFonts w:hint="eastAsia" w:ascii="Times New Roman" w:hAnsi="Times New Roman" w:eastAsia="宋体" w:cs="Times New Roman"/>
          <w:sz w:val="24"/>
          <w:szCs w:val="24"/>
          <w:u w:val="single"/>
          <w:lang w:val="en-US" w:eastAsia="zh-CN"/>
        </w:rPr>
        <w:t>9</w:t>
      </w:r>
      <w:r>
        <w:rPr>
          <w:rFonts w:ascii="Times New Roman" w:hAnsi="Times New Roman" w:eastAsia="宋体" w:cs="Times New Roman"/>
          <w:sz w:val="24"/>
          <w:szCs w:val="24"/>
          <w:u w:val="single"/>
        </w:rPr>
        <w:t>1</w:t>
      </w:r>
      <w:r>
        <w:rPr>
          <w:rFonts w:hint="eastAsia" w:ascii="Times New Roman" w:hAnsi="Times New Roman" w:eastAsia="宋体" w:cs="Times New Roman"/>
          <w:sz w:val="24"/>
          <w:szCs w:val="24"/>
        </w:rPr>
        <w:t>学时，其中课堂理论教学</w:t>
      </w:r>
      <w:r>
        <w:rPr>
          <w:rFonts w:ascii="Times New Roman" w:hAnsi="Times New Roman" w:eastAsia="宋体" w:cs="Times New Roman"/>
          <w:sz w:val="24"/>
          <w:szCs w:val="24"/>
          <w:u w:val="single"/>
        </w:rPr>
        <w:t>2</w:t>
      </w:r>
      <w:r>
        <w:rPr>
          <w:rFonts w:hint="eastAsia" w:ascii="Times New Roman" w:hAnsi="Times New Roman" w:eastAsia="宋体" w:cs="Times New Roman"/>
          <w:sz w:val="24"/>
          <w:szCs w:val="24"/>
          <w:u w:val="single"/>
          <w:lang w:val="en-US" w:eastAsia="zh-CN"/>
        </w:rPr>
        <w:t>23</w:t>
      </w:r>
      <w:r>
        <w:rPr>
          <w:rFonts w:ascii="Times New Roman" w:hAnsi="Times New Roman" w:eastAsia="宋体" w:cs="Times New Roman"/>
          <w:sz w:val="24"/>
          <w:szCs w:val="24"/>
          <w:u w:val="single"/>
        </w:rPr>
        <w:t>3</w:t>
      </w:r>
      <w:r>
        <w:rPr>
          <w:rFonts w:hint="eastAsia" w:ascii="Times New Roman" w:hAnsi="Times New Roman" w:eastAsia="宋体" w:cs="Times New Roman"/>
          <w:sz w:val="24"/>
          <w:szCs w:val="24"/>
        </w:rPr>
        <w:t>学时，约占总学时</w:t>
      </w:r>
      <w:r>
        <w:rPr>
          <w:rFonts w:hint="eastAsia" w:ascii="Times New Roman" w:hAnsi="Times New Roman" w:eastAsia="宋体" w:cs="Times New Roman"/>
          <w:sz w:val="24"/>
          <w:szCs w:val="24"/>
          <w:u w:val="single"/>
          <w:lang w:val="en-US" w:eastAsia="zh-CN"/>
        </w:rPr>
        <w:t>45.66</w:t>
      </w:r>
      <w:r>
        <w:rPr>
          <w:rFonts w:ascii="Times New Roman" w:hAnsi="Times New Roman" w:eastAsia="宋体" w:cs="Times New Roman"/>
          <w:sz w:val="24"/>
          <w:szCs w:val="24"/>
          <w:u w:val="single"/>
        </w:rPr>
        <w:t>%</w:t>
      </w:r>
      <w:r>
        <w:rPr>
          <w:rFonts w:hint="eastAsia" w:ascii="Times New Roman" w:hAnsi="Times New Roman" w:eastAsia="宋体" w:cs="Times New Roman"/>
          <w:sz w:val="24"/>
          <w:szCs w:val="24"/>
        </w:rPr>
        <w:t>，实践教学</w:t>
      </w:r>
      <w:r>
        <w:rPr>
          <w:rFonts w:ascii="Times New Roman" w:hAnsi="Times New Roman" w:eastAsia="宋体" w:cs="Times New Roman"/>
          <w:sz w:val="24"/>
          <w:szCs w:val="24"/>
        </w:rPr>
        <w:t xml:space="preserve"> </w:t>
      </w:r>
      <w:r>
        <w:rPr>
          <w:rFonts w:ascii="Times New Roman" w:hAnsi="Times New Roman" w:eastAsia="宋体" w:cs="Times New Roman"/>
          <w:sz w:val="24"/>
          <w:szCs w:val="24"/>
          <w:u w:val="single"/>
        </w:rPr>
        <w:t>2</w:t>
      </w:r>
      <w:r>
        <w:rPr>
          <w:rFonts w:hint="eastAsia" w:ascii="Times New Roman" w:hAnsi="Times New Roman" w:eastAsia="宋体" w:cs="Times New Roman"/>
          <w:sz w:val="24"/>
          <w:szCs w:val="24"/>
          <w:u w:val="single"/>
          <w:lang w:val="en-US" w:eastAsia="zh-CN"/>
        </w:rPr>
        <w:t>658</w:t>
      </w:r>
      <w:r>
        <w:rPr>
          <w:rFonts w:hint="eastAsia" w:ascii="Times New Roman" w:hAnsi="Times New Roman" w:eastAsia="宋体" w:cs="Times New Roman"/>
          <w:sz w:val="24"/>
          <w:szCs w:val="24"/>
        </w:rPr>
        <w:t>学时，约占总学时</w:t>
      </w:r>
      <w:r>
        <w:rPr>
          <w:rFonts w:hint="eastAsia" w:ascii="Times New Roman" w:hAnsi="Times New Roman" w:eastAsia="宋体" w:cs="Times New Roman"/>
          <w:sz w:val="24"/>
          <w:szCs w:val="24"/>
          <w:u w:val="single"/>
          <w:lang w:val="en-US" w:eastAsia="zh-CN"/>
        </w:rPr>
        <w:t>54.34</w:t>
      </w:r>
      <w:r>
        <w:rPr>
          <w:rFonts w:ascii="Times New Roman" w:hAnsi="Times New Roman" w:eastAsia="宋体" w:cs="Times New Roman"/>
          <w:sz w:val="24"/>
          <w:szCs w:val="24"/>
          <w:u w:val="single"/>
        </w:rPr>
        <w:t>%</w:t>
      </w:r>
      <w:r>
        <w:rPr>
          <w:rFonts w:hint="eastAsia" w:ascii="Times New Roman" w:hAnsi="Times New Roman" w:eastAsia="宋体" w:cs="Times New Roman"/>
          <w:sz w:val="24"/>
          <w:szCs w:val="24"/>
        </w:rPr>
        <w:t>。</w:t>
      </w:r>
      <w:r>
        <w:rPr>
          <w:rFonts w:hint="eastAsia" w:ascii="Times New Roman" w:hAnsi="Times New Roman" w:eastAsia="宋体" w:cs="Times New Roman"/>
          <w:b/>
          <w:color w:val="000000"/>
          <w:szCs w:val="21"/>
        </w:rPr>
        <w:t>总学时</w:t>
      </w:r>
    </w:p>
    <w:tbl>
      <w:tblPr>
        <w:tblStyle w:val="23"/>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069"/>
        <w:gridCol w:w="1134"/>
        <w:gridCol w:w="1144"/>
        <w:gridCol w:w="851"/>
        <w:gridCol w:w="1059"/>
        <w:gridCol w:w="750"/>
        <w:gridCol w:w="76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课程设置</w:t>
            </w:r>
          </w:p>
        </w:tc>
        <w:tc>
          <w:tcPr>
            <w:tcW w:w="106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课程</w:t>
            </w:r>
          </w:p>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模块</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课程类别</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课程性质</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学分数</w:t>
            </w:r>
          </w:p>
        </w:tc>
        <w:tc>
          <w:tcPr>
            <w:tcW w:w="257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学时数</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学时百分比（</w:t>
            </w:r>
            <w:r>
              <w:rPr>
                <w:rFonts w:ascii="Times New Roman" w:hAnsi="Times New Roman" w:eastAsia="宋体" w:cs="Times New Roman"/>
                <w:b/>
                <w:color w:val="000000"/>
                <w:szCs w:val="21"/>
              </w:rPr>
              <w:t>%</w:t>
            </w:r>
            <w:r>
              <w:rPr>
                <w:rFonts w:hint="eastAsia" w:ascii="Times New Roman" w:hAnsi="Times New Roman" w:eastAsia="宋体" w:cs="Times New Roman"/>
                <w:b/>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color w:val="00000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color w:val="00000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color w:val="00000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color w:val="00000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color w:val="000000"/>
                <w:szCs w:val="21"/>
              </w:rPr>
            </w:pP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szCs w:val="21"/>
              </w:rPr>
            </w:pPr>
            <w:r>
              <w:rPr>
                <w:rFonts w:hint="eastAsia" w:ascii="Times New Roman" w:hAnsi="Times New Roman" w:eastAsia="宋体" w:cs="Times New Roman"/>
                <w:b/>
                <w:color w:val="000000"/>
                <w:szCs w:val="21"/>
              </w:rPr>
              <w:t>总学时</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kern w:val="2"/>
                <w:sz w:val="21"/>
                <w:szCs w:val="21"/>
                <w:lang w:val="en-US" w:eastAsia="zh-CN" w:bidi="ar-SA"/>
              </w:rPr>
            </w:pPr>
            <w:r>
              <w:rPr>
                <w:rFonts w:hint="eastAsia" w:ascii="Times New Roman" w:hAnsi="Times New Roman" w:eastAsia="宋体" w:cs="Times New Roman"/>
                <w:b/>
                <w:color w:val="000000"/>
                <w:szCs w:val="21"/>
              </w:rPr>
              <w:t>讲授</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color w:val="000000"/>
                <w:kern w:val="2"/>
                <w:sz w:val="21"/>
                <w:szCs w:val="21"/>
                <w:lang w:val="en-US" w:eastAsia="zh-CN" w:bidi="ar-SA"/>
              </w:rPr>
            </w:pPr>
            <w:r>
              <w:rPr>
                <w:rFonts w:hint="eastAsia" w:ascii="Times New Roman" w:hAnsi="Times New Roman" w:eastAsia="宋体" w:cs="Times New Roman"/>
                <w:b/>
                <w:color w:val="000000"/>
                <w:szCs w:val="21"/>
              </w:rPr>
              <w:t>实践</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公共基础课程</w:t>
            </w:r>
          </w:p>
        </w:tc>
        <w:tc>
          <w:tcPr>
            <w:tcW w:w="106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公共基础模块</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公共基础课程</w:t>
            </w:r>
          </w:p>
        </w:tc>
        <w:tc>
          <w:tcPr>
            <w:tcW w:w="11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必修</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95.5</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1632</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1155</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477</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33.37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选修</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6</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96</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64</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32</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1.96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06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创新创业模块</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创新创业教育课程</w:t>
            </w:r>
          </w:p>
        </w:tc>
        <w:tc>
          <w:tcPr>
            <w:tcW w:w="11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必修</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4</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30</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34</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64</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0.61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1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选修</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1.5</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12</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12</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24</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0.25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334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小计</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107</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1816</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1261</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555</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37.13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专业课程</w:t>
            </w:r>
          </w:p>
        </w:tc>
        <w:tc>
          <w:tcPr>
            <w:tcW w:w="106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rPr>
              <w:t>专业技术技能模块</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专业基础课程</w:t>
            </w:r>
          </w:p>
        </w:tc>
        <w:tc>
          <w:tcPr>
            <w:tcW w:w="11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必修</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42</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728</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466</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262</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14.88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专业核心课程</w:t>
            </w:r>
          </w:p>
        </w:tc>
        <w:tc>
          <w:tcPr>
            <w:tcW w:w="11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必修</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25.5</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468</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290</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178</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9.57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szCs w:val="21"/>
              </w:rPr>
              <w:t>专业拓展课程</w:t>
            </w:r>
          </w:p>
        </w:tc>
        <w:tc>
          <w:tcPr>
            <w:tcW w:w="11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选修</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12</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216</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216</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0</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4.42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集中实践性教学课程</w:t>
            </w:r>
          </w:p>
        </w:tc>
        <w:tc>
          <w:tcPr>
            <w:tcW w:w="11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必修</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57.5</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1663</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0</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default" w:ascii="Times New Roman" w:hAnsi="Times New Roman" w:eastAsia="宋体" w:cs="Times New Roman"/>
                <w:szCs w:val="21"/>
                <w:lang w:val="en-US" w:eastAsia="zh-CN"/>
              </w:rPr>
              <w:t>1663</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334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小计</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137</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3075</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972</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2103</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62.87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406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总计</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244</w:t>
            </w:r>
          </w:p>
        </w:tc>
        <w:tc>
          <w:tcPr>
            <w:tcW w:w="10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4891</w:t>
            </w:r>
          </w:p>
        </w:tc>
        <w:tc>
          <w:tcPr>
            <w:tcW w:w="7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2233</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2658</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100.00 </w:t>
            </w:r>
          </w:p>
        </w:tc>
      </w:tr>
    </w:tbl>
    <w:p>
      <w:pPr>
        <w:spacing w:line="460" w:lineRule="exact"/>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3</w:t>
      </w:r>
      <w:r>
        <w:rPr>
          <w:rFonts w:hint="eastAsia" w:ascii="Times New Roman" w:hAnsi="Times New Roman" w:eastAsia="宋体" w:cs="Times New Roman"/>
          <w:b/>
          <w:bCs/>
          <w:sz w:val="24"/>
          <w:szCs w:val="24"/>
        </w:rPr>
        <w:t>、教学计划安排（按周安排）</w:t>
      </w:r>
    </w:p>
    <w:tbl>
      <w:tblPr>
        <w:tblStyle w:val="23"/>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772"/>
        <w:gridCol w:w="528"/>
        <w:gridCol w:w="817"/>
        <w:gridCol w:w="435"/>
        <w:gridCol w:w="983"/>
        <w:gridCol w:w="992"/>
        <w:gridCol w:w="906"/>
        <w:gridCol w:w="780"/>
        <w:gridCol w:w="864"/>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9" w:hRule="atLeast"/>
          <w:jc w:val="center"/>
        </w:trPr>
        <w:tc>
          <w:tcPr>
            <w:tcW w:w="56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学年</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学期</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课堂</w:t>
            </w:r>
          </w:p>
          <w:p>
            <w:pPr>
              <w:jc w:val="center"/>
              <w:rPr>
                <w:rFonts w:ascii="Times New Roman" w:hAnsi="Times New Roman" w:eastAsia="宋体" w:cs="Times New Roman"/>
                <w:szCs w:val="21"/>
              </w:rPr>
            </w:pPr>
            <w:r>
              <w:rPr>
                <w:rFonts w:hint="eastAsia" w:ascii="Times New Roman" w:hAnsi="Times New Roman" w:eastAsia="宋体" w:cs="Times New Roman"/>
                <w:szCs w:val="21"/>
              </w:rPr>
              <w:t>教学</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考试</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入学</w:t>
            </w:r>
          </w:p>
          <w:p>
            <w:pPr>
              <w:jc w:val="center"/>
              <w:rPr>
                <w:rFonts w:ascii="Times New Roman" w:hAnsi="Times New Roman" w:eastAsia="宋体" w:cs="Times New Roman"/>
                <w:szCs w:val="21"/>
              </w:rPr>
            </w:pPr>
            <w:r>
              <w:rPr>
                <w:rFonts w:hint="eastAsia" w:ascii="Times New Roman" w:hAnsi="Times New Roman" w:eastAsia="宋体" w:cs="Times New Roman"/>
                <w:szCs w:val="21"/>
              </w:rPr>
              <w:t>教育</w:t>
            </w: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军训</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集中性实训实习</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毕业设计顶岗实习</w:t>
            </w: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毕业</w:t>
            </w:r>
          </w:p>
          <w:p>
            <w:pPr>
              <w:jc w:val="center"/>
              <w:rPr>
                <w:rFonts w:ascii="Times New Roman" w:hAnsi="Times New Roman" w:eastAsia="宋体" w:cs="Times New Roman"/>
                <w:szCs w:val="21"/>
              </w:rPr>
            </w:pPr>
            <w:r>
              <w:rPr>
                <w:rFonts w:hint="eastAsia" w:ascii="Times New Roman" w:hAnsi="Times New Roman" w:eastAsia="宋体" w:cs="Times New Roman"/>
                <w:szCs w:val="21"/>
              </w:rPr>
              <w:t>教育</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社会实践</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含劳动</w:t>
            </w:r>
            <w:r>
              <w:rPr>
                <w:rFonts w:hint="eastAsia" w:ascii="Times New Roman" w:hAnsi="Times New Roman" w:eastAsia="宋体" w:cs="Times New Roman"/>
                <w:szCs w:val="21"/>
                <w:lang w:eastAsia="zh-CN"/>
              </w:rPr>
              <w:t>）</w:t>
            </w: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假日</w:t>
            </w:r>
          </w:p>
          <w:p>
            <w:pPr>
              <w:jc w:val="center"/>
              <w:rPr>
                <w:rFonts w:ascii="Times New Roman" w:hAnsi="Times New Roman" w:eastAsia="宋体" w:cs="Times New Roman"/>
                <w:szCs w:val="21"/>
              </w:rPr>
            </w:pPr>
            <w:r>
              <w:rPr>
                <w:rFonts w:hint="eastAsia" w:ascii="Times New Roman" w:hAnsi="Times New Roman" w:eastAsia="宋体" w:cs="Times New Roman"/>
                <w:szCs w:val="21"/>
              </w:rPr>
              <w:t>及机动</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小</w:t>
            </w:r>
          </w:p>
          <w:p>
            <w:pPr>
              <w:jc w:val="center"/>
              <w:rPr>
                <w:rFonts w:ascii="Times New Roman" w:hAnsi="Times New Roman" w:eastAsia="宋体" w:cs="Times New Roman"/>
                <w:szCs w:val="21"/>
              </w:rPr>
            </w:pPr>
            <w:r>
              <w:rPr>
                <w:rFonts w:hint="eastAsia" w:ascii="Times New Roman" w:hAnsi="Times New Roman" w:eastAsia="宋体" w:cs="Times New Roman"/>
                <w:szCs w:val="21"/>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一</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16</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1</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 w:hRule="atLeast"/>
          <w:jc w:val="center"/>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13</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二</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15</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 w:hRule="atLeast"/>
          <w:jc w:val="center"/>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15</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jc w:val="center"/>
        </w:trPr>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三</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5</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16</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6</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18</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jc w:val="center"/>
        </w:trPr>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7</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13</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8</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12</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五</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9</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10</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8</w:t>
            </w: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10</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16</w:t>
            </w: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3</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113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合计</w:t>
            </w:r>
          </w:p>
        </w:tc>
        <w:tc>
          <w:tcPr>
            <w:tcW w:w="7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128</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17</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4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9</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24</w:t>
            </w:r>
          </w:p>
        </w:tc>
        <w:tc>
          <w:tcPr>
            <w:tcW w:w="9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1</w:t>
            </w:r>
            <w:r>
              <w:rPr>
                <w:rFonts w:hint="eastAsia" w:ascii="Times New Roman" w:hAnsi="Times New Roman" w:eastAsia="宋体" w:cs="Times New Roman"/>
                <w:szCs w:val="21"/>
                <w:lang w:val="en-US" w:eastAsia="zh-CN"/>
              </w:rPr>
              <w:t>2</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199</w:t>
            </w:r>
          </w:p>
        </w:tc>
      </w:tr>
    </w:tbl>
    <w:p>
      <w:pPr>
        <w:spacing w:line="460" w:lineRule="exact"/>
        <w:rPr>
          <w:rFonts w:ascii="Times New Roman" w:hAnsi="Times New Roman" w:eastAsia="宋体" w:cs="Times New Roman"/>
          <w:sz w:val="24"/>
          <w:szCs w:val="24"/>
        </w:rPr>
      </w:pPr>
    </w:p>
    <w:p>
      <w:pPr>
        <w:widowControl/>
        <w:jc w:val="left"/>
        <w:rPr>
          <w:rFonts w:ascii="Times New Roman" w:hAnsi="Times New Roman" w:eastAsia="仿宋" w:cs="Times New Roman"/>
          <w:sz w:val="28"/>
          <w:szCs w:val="21"/>
        </w:rPr>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720" w:num="1"/>
          <w:docGrid w:type="lines" w:linePitch="312" w:charSpace="0"/>
        </w:sectPr>
      </w:pPr>
    </w:p>
    <w:p>
      <w:pPr>
        <w:spacing w:line="460" w:lineRule="exact"/>
        <w:ind w:firstLine="482" w:firstLineChars="200"/>
        <w:rPr>
          <w:rFonts w:ascii="Times New Roman" w:hAnsi="黑体" w:eastAsia="黑体" w:cs="Times New Roman"/>
          <w:b/>
          <w:sz w:val="24"/>
          <w:szCs w:val="24"/>
        </w:rPr>
      </w:pPr>
      <w:bookmarkStart w:id="0" w:name="_Hlk28943456"/>
      <w:r>
        <w:rPr>
          <w:rFonts w:hint="eastAsia" w:ascii="Times New Roman" w:hAnsi="黑体" w:eastAsia="黑体" w:cs="Times New Roman"/>
          <w:b/>
          <w:sz w:val="24"/>
          <w:szCs w:val="24"/>
        </w:rPr>
        <w:t>八、实施保障</w:t>
      </w:r>
    </w:p>
    <w:p>
      <w:pPr>
        <w:spacing w:line="460" w:lineRule="exact"/>
        <w:ind w:firstLine="470" w:firstLineChars="196"/>
        <w:rPr>
          <w:rFonts w:ascii="宋体" w:hAnsi="宋体" w:eastAsia="宋体" w:cs="Times New Roman"/>
          <w:sz w:val="24"/>
          <w:szCs w:val="24"/>
        </w:rPr>
      </w:pPr>
      <w:r>
        <w:rPr>
          <w:rFonts w:hint="eastAsia" w:ascii="宋体" w:hAnsi="宋体" w:eastAsia="宋体" w:cs="Times New Roman"/>
          <w:sz w:val="24"/>
          <w:szCs w:val="24"/>
        </w:rPr>
        <w:t>（一）专业教学团队</w:t>
      </w:r>
    </w:p>
    <w:p>
      <w:pPr>
        <w:spacing w:line="312" w:lineRule="auto"/>
        <w:jc w:val="center"/>
        <w:rPr>
          <w:rFonts w:ascii="Times New Roman" w:hAnsi="宋体" w:eastAsia="宋体" w:cs="Times New Roman"/>
          <w:sz w:val="24"/>
          <w:szCs w:val="24"/>
        </w:rPr>
      </w:pPr>
      <w:r>
        <w:rPr>
          <w:rFonts w:hint="eastAsia" w:ascii="Times New Roman" w:hAnsi="宋体" w:eastAsia="宋体" w:cs="Times New Roman"/>
          <w:sz w:val="24"/>
          <w:szCs w:val="24"/>
        </w:rPr>
        <w:t>表</w:t>
      </w:r>
      <w:r>
        <w:rPr>
          <w:rFonts w:ascii="Times New Roman" w:hAnsi="宋体" w:eastAsia="宋体" w:cs="Times New Roman"/>
          <w:sz w:val="24"/>
          <w:szCs w:val="24"/>
        </w:rPr>
        <w:t xml:space="preserve">1  </w:t>
      </w:r>
      <w:r>
        <w:rPr>
          <w:rFonts w:hint="eastAsia" w:ascii="Times New Roman" w:hAnsi="宋体" w:eastAsia="宋体" w:cs="Times New Roman"/>
          <w:sz w:val="24"/>
          <w:szCs w:val="24"/>
        </w:rPr>
        <w:t>专业教学团队情况一览表</w:t>
      </w:r>
    </w:p>
    <w:bookmarkEnd w:id="0"/>
    <w:tbl>
      <w:tblPr>
        <w:tblStyle w:val="23"/>
        <w:tblW w:w="14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39"/>
        <w:gridCol w:w="567"/>
        <w:gridCol w:w="1134"/>
        <w:gridCol w:w="1492"/>
        <w:gridCol w:w="955"/>
        <w:gridCol w:w="1538"/>
        <w:gridCol w:w="1599"/>
        <w:gridCol w:w="1045"/>
        <w:gridCol w:w="1538"/>
        <w:gridCol w:w="812"/>
        <w:gridCol w:w="1663"/>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姓名</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性别</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出生年月</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专业技术职务</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最后学历</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毕业学校</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专业</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学位</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现从事专业</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专兼</w:t>
            </w:r>
          </w:p>
          <w:p>
            <w:pPr>
              <w:jc w:val="center"/>
              <w:rPr>
                <w:rFonts w:ascii="Times New Roman" w:hAnsi="Times New Roman" w:eastAsia="宋体" w:cs="Times New Roman"/>
                <w:szCs w:val="21"/>
              </w:rPr>
            </w:pPr>
            <w:r>
              <w:rPr>
                <w:rFonts w:ascii="Times New Roman" w:hAnsi="Times New Roman" w:eastAsia="宋体" w:cs="Times New Roman"/>
                <w:szCs w:val="21"/>
              </w:rPr>
              <w:t>情况</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拟任课程</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是否双师型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赖国新</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1965.08</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教授/系主任</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厦门大学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分析化学</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化工、分析</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专业英语</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杨海贤</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1973.08</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教授/教务处副处长</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厦门大学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工业催化</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化工、分析</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基础化学</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陈金民</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1981.08</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副教授/专业主任</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研究生</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武汉工程大学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材料学</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分析、材料</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定量化学分析技术</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刘开敏</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1973.02</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副教授/实训中心主任</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福州大学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分析化学</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食药、分析</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仪器分析技术</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5</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蔡俊秀</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1967.06</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副教授/专业主任</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武汉粮食工业学院</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油脂工程</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学士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油脂、营养学</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食品营养与卫生</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6</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陈正升</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1983.01</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讲师/专业主任</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福州大学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化学工程</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食药、化学</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食品与药品工艺学</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7</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薛正翔</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1979.12</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讲师</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福建师大</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生物化学与分子生物学</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博士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生物化学</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食品微生物</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8</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陈琴</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女</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1988.10</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助教</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研究生</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福州大学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环境科学</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分析、化工</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食品与药学基础知识</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9</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吴菲菲</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女</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1987.06</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助教</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研究生</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集美大学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食品检测</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食品检测</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专职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食品理化检测技术</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10</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林梅西</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1956.06</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教授级高工</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福州大学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食品工艺</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学士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食品工艺</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兼职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顶岗实习</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11</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孙义华</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1987.09</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主任科员</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博士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中科院化学研究所</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物理化学专业</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研究生</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分析检测</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兼职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顶岗实习</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12</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陈伟建</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1970.04</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教授级高级农艺师</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海南大学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食品工程</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学士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食品工程</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兼职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顶岗实习</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13</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王鼎峰</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1977.10</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副主任药师</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华中科技大学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药学专业</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学士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药学</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兼职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顶岗实习</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14</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吴丽云</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女</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1967.03</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高级工程师</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研究生</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江南大学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生物技术</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博士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微生物</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兼职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顶岗实习</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15</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郑龙</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1975.05</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高级农艺师</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福建农林大学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农产品质检</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硕士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食品工艺</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兼职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顶岗实习</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16</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高  敏</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女</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1972.08</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主任药师</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在职大学</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莆田学院</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药学专业</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无</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药学</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兼职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顶岗实习</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17</w:t>
            </w:r>
          </w:p>
        </w:tc>
        <w:tc>
          <w:tcPr>
            <w:tcW w:w="103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何金城</w:t>
            </w:r>
          </w:p>
        </w:tc>
        <w:tc>
          <w:tcPr>
            <w:tcW w:w="567"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男</w:t>
            </w:r>
          </w:p>
        </w:tc>
        <w:tc>
          <w:tcPr>
            <w:tcW w:w="1134"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1964.07</w:t>
            </w:r>
          </w:p>
        </w:tc>
        <w:tc>
          <w:tcPr>
            <w:tcW w:w="149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高级农艺师</w:t>
            </w:r>
          </w:p>
        </w:tc>
        <w:tc>
          <w:tcPr>
            <w:tcW w:w="95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本科</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华南农业大学</w:t>
            </w:r>
          </w:p>
        </w:tc>
        <w:tc>
          <w:tcPr>
            <w:tcW w:w="1599"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农学</w:t>
            </w:r>
          </w:p>
        </w:tc>
        <w:tc>
          <w:tcPr>
            <w:tcW w:w="1045"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学士</w:t>
            </w:r>
          </w:p>
        </w:tc>
        <w:tc>
          <w:tcPr>
            <w:tcW w:w="1538"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食品、分析</w:t>
            </w:r>
          </w:p>
        </w:tc>
        <w:tc>
          <w:tcPr>
            <w:tcW w:w="812"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兼职</w:t>
            </w:r>
          </w:p>
        </w:tc>
        <w:tc>
          <w:tcPr>
            <w:tcW w:w="1663"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顶岗实习</w:t>
            </w:r>
          </w:p>
        </w:tc>
        <w:tc>
          <w:tcPr>
            <w:tcW w:w="870" w:type="dxa"/>
            <w:noWrap/>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是</w:t>
            </w:r>
          </w:p>
        </w:tc>
      </w:tr>
    </w:tbl>
    <w:p>
      <w:pPr>
        <w:spacing w:line="312" w:lineRule="auto"/>
        <w:ind w:firstLine="472" w:firstLineChars="196"/>
        <w:rPr>
          <w:rFonts w:ascii="Times New Roman" w:hAnsi="黑体" w:eastAsia="黑体" w:cs="Times New Roman"/>
          <w:b/>
          <w:sz w:val="24"/>
          <w:szCs w:val="24"/>
        </w:rPr>
      </w:pPr>
    </w:p>
    <w:p>
      <w:pPr>
        <w:widowControl/>
        <w:spacing w:line="312" w:lineRule="auto"/>
        <w:jc w:val="left"/>
        <w:rPr>
          <w:rFonts w:ascii="Times New Roman" w:hAnsi="黑体" w:eastAsia="黑体" w:cs="Times New Roman"/>
          <w:b/>
          <w:sz w:val="24"/>
          <w:szCs w:val="24"/>
        </w:rPr>
        <w:sectPr>
          <w:pgSz w:w="16838" w:h="11906" w:orient="landscape"/>
          <w:pgMar w:top="1797" w:right="1440" w:bottom="1797" w:left="1440" w:header="851" w:footer="992" w:gutter="0"/>
          <w:cols w:space="720" w:num="1"/>
        </w:sectPr>
      </w:pPr>
    </w:p>
    <w:p>
      <w:pPr>
        <w:spacing w:line="460" w:lineRule="exact"/>
        <w:ind w:firstLine="470" w:firstLineChars="196"/>
        <w:rPr>
          <w:rFonts w:ascii="宋体" w:hAnsi="宋体" w:eastAsia="宋体" w:cs="Times New Roman"/>
          <w:sz w:val="24"/>
          <w:szCs w:val="24"/>
        </w:rPr>
      </w:pPr>
      <w:r>
        <w:rPr>
          <w:rFonts w:hint="eastAsia" w:ascii="宋体" w:hAnsi="宋体" w:eastAsia="宋体" w:cs="Times New Roman"/>
          <w:sz w:val="24"/>
          <w:szCs w:val="24"/>
        </w:rPr>
        <w:t>（二）教学设施</w:t>
      </w:r>
    </w:p>
    <w:p>
      <w:pPr>
        <w:spacing w:line="360" w:lineRule="auto"/>
        <w:ind w:firstLine="480" w:firstLineChars="200"/>
        <w:rPr>
          <w:rFonts w:hint="eastAsia"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.校内实训条件</w:t>
      </w:r>
    </w:p>
    <w:p>
      <w:pPr>
        <w:spacing w:line="460" w:lineRule="exact"/>
        <w:ind w:firstLine="480" w:firstLineChars="200"/>
        <w:jc w:val="left"/>
        <w:rPr>
          <w:rFonts w:hint="eastAsia" w:ascii="Times New Roman" w:hAnsi="Times New Roman" w:eastAsia="宋体" w:cs="Times New Roman"/>
          <w:sz w:val="24"/>
        </w:rPr>
      </w:pPr>
      <w:r>
        <w:rPr>
          <w:rFonts w:hint="eastAsia" w:ascii="Times New Roman" w:hAnsi="Times New Roman" w:eastAsia="宋体" w:cs="Times New Roman"/>
          <w:sz w:val="24"/>
        </w:rPr>
        <w:t>现建成有能满足专业实践教学需要的化工仿真实训室1个、化工生产实训室、仪器分析实训室、化学分析实训室、色谱分析室、化工产品检测实训室等完备的实验实训教学设施，校内实训设备如表5所示。10多个多媒体电化教室为本专业的现代化教学工作提供强有力的保障，基本能满足本专业学生的教学和实践需要。根据专业发展需要，确保实验实训需要，2020年～2022年拟建设1个食品与药品检测中心，中心含4个实训室，即：①食品与药品检测与安全实训室 ②食品与药品加工实训室 ③食品焙烤实训室 ④微生物实训室。能够满足食品检测与管理专业工学结合培养模式的要求；能为课堂与实践教学一体化、任务驱动、项目导向的教学方式提供支持；能够适应本专业工学结合培养模式和各种教学方式的需要。逐步建立有利于培养学生实践能力和综合专业能力相结合的多功能校内实验实训设施。</w:t>
      </w:r>
    </w:p>
    <w:p>
      <w:pPr>
        <w:jc w:val="center"/>
        <w:rPr>
          <w:rFonts w:hint="eastAsia" w:ascii="宋体" w:hAnsi="宋体" w:eastAsia="宋体" w:cs="仿宋"/>
          <w:bCs/>
          <w:szCs w:val="21"/>
        </w:rPr>
      </w:pPr>
      <w:r>
        <w:rPr>
          <w:rFonts w:hint="eastAsia" w:ascii="宋体" w:hAnsi="宋体" w:eastAsia="宋体" w:cs="仿宋"/>
          <w:bCs/>
          <w:szCs w:val="21"/>
        </w:rPr>
        <w:t>表2  校内实训设备一览表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250"/>
        <w:gridCol w:w="3222"/>
        <w:gridCol w:w="2664"/>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5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序号</w:t>
            </w:r>
          </w:p>
        </w:tc>
        <w:tc>
          <w:tcPr>
            <w:tcW w:w="1250"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实验实训</w:t>
            </w:r>
          </w:p>
          <w:p>
            <w:pPr>
              <w:jc w:val="center"/>
              <w:rPr>
                <w:rFonts w:hint="eastAsia" w:ascii="宋体" w:hAnsi="宋体" w:eastAsia="宋体" w:cs="仿宋"/>
                <w:bCs/>
                <w:szCs w:val="21"/>
              </w:rPr>
            </w:pPr>
            <w:r>
              <w:rPr>
                <w:rFonts w:hint="eastAsia" w:ascii="宋体" w:hAnsi="宋体" w:eastAsia="宋体" w:cs="仿宋"/>
                <w:bCs/>
                <w:szCs w:val="21"/>
              </w:rPr>
              <w:t>基地（室）名称</w:t>
            </w:r>
          </w:p>
        </w:tc>
        <w:tc>
          <w:tcPr>
            <w:tcW w:w="3222"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功能</w:t>
            </w:r>
          </w:p>
          <w:p>
            <w:pPr>
              <w:jc w:val="center"/>
              <w:rPr>
                <w:rFonts w:hint="eastAsia" w:ascii="宋体" w:hAnsi="宋体" w:eastAsia="宋体" w:cs="仿宋"/>
                <w:bCs/>
                <w:szCs w:val="21"/>
              </w:rPr>
            </w:pPr>
            <w:r>
              <w:rPr>
                <w:rFonts w:hint="eastAsia" w:ascii="宋体" w:hAnsi="宋体" w:eastAsia="宋体" w:cs="仿宋"/>
                <w:bCs/>
                <w:szCs w:val="21"/>
              </w:rPr>
              <w:t>（实训实习项目）</w:t>
            </w:r>
          </w:p>
        </w:tc>
        <w:tc>
          <w:tcPr>
            <w:tcW w:w="266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面积、主要实验（训）设备名称及台套数要求</w:t>
            </w:r>
          </w:p>
        </w:tc>
        <w:tc>
          <w:tcPr>
            <w:tcW w:w="93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工位数（个）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5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w:t>
            </w:r>
          </w:p>
        </w:tc>
        <w:tc>
          <w:tcPr>
            <w:tcW w:w="1250"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无机化学实训室</w:t>
            </w:r>
          </w:p>
        </w:tc>
        <w:tc>
          <w:tcPr>
            <w:tcW w:w="3222"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溶液的配制、电子天平称量练习、滴定管基本操作、氢氧化钠溶液的标定、盐酸标准溶液的标定</w:t>
            </w:r>
          </w:p>
        </w:tc>
        <w:tc>
          <w:tcPr>
            <w:tcW w:w="266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无机化学常规仪器（滴定管、电子天平、干燥器等）</w:t>
            </w:r>
          </w:p>
        </w:tc>
        <w:tc>
          <w:tcPr>
            <w:tcW w:w="93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5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2</w:t>
            </w:r>
          </w:p>
        </w:tc>
        <w:tc>
          <w:tcPr>
            <w:tcW w:w="1250"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有机化学实训室</w:t>
            </w:r>
          </w:p>
        </w:tc>
        <w:tc>
          <w:tcPr>
            <w:tcW w:w="3222"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固液分离、粗食盐的提纯、蒸馏、熔点的测定、有机物的制备</w:t>
            </w:r>
          </w:p>
        </w:tc>
        <w:tc>
          <w:tcPr>
            <w:tcW w:w="266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有机化学常规仪器（分流漏斗、熔点管、冷凝管、干燥箱等）</w:t>
            </w:r>
          </w:p>
        </w:tc>
        <w:tc>
          <w:tcPr>
            <w:tcW w:w="93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5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3</w:t>
            </w:r>
          </w:p>
        </w:tc>
        <w:tc>
          <w:tcPr>
            <w:tcW w:w="1250"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化学分析实训室</w:t>
            </w:r>
          </w:p>
        </w:tc>
        <w:tc>
          <w:tcPr>
            <w:tcW w:w="3222"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酸碱体积比测定、盐酸（硫酸、氢氧化钠、EDTA、 KMnO4）标准滴定溶液的配制与标定、混合碱含量的测定（双指示剂法）、食醋中总酸度的测定、自来水总硬度的测定（钙镁含量的测定）等</w:t>
            </w:r>
          </w:p>
        </w:tc>
        <w:tc>
          <w:tcPr>
            <w:tcW w:w="266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滴定管、容量瓶、移液管、电子天平、锥形瓶等常规容量玻璃仪器</w:t>
            </w:r>
          </w:p>
        </w:tc>
        <w:tc>
          <w:tcPr>
            <w:tcW w:w="93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5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4</w:t>
            </w:r>
          </w:p>
        </w:tc>
        <w:tc>
          <w:tcPr>
            <w:tcW w:w="1250"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电子天平实训室</w:t>
            </w:r>
          </w:p>
        </w:tc>
        <w:tc>
          <w:tcPr>
            <w:tcW w:w="3222"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各种分析实验称量</w:t>
            </w:r>
          </w:p>
        </w:tc>
        <w:tc>
          <w:tcPr>
            <w:tcW w:w="266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电子天平</w:t>
            </w:r>
          </w:p>
        </w:tc>
        <w:tc>
          <w:tcPr>
            <w:tcW w:w="93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5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5</w:t>
            </w:r>
          </w:p>
        </w:tc>
        <w:tc>
          <w:tcPr>
            <w:tcW w:w="1250"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仪器分析综合实训室</w:t>
            </w:r>
          </w:p>
        </w:tc>
        <w:tc>
          <w:tcPr>
            <w:tcW w:w="3222"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原子吸收分光光度法测定金属离子含量、紫外-可见分光光度计使用、电位法测定水溶液的pH值等</w:t>
            </w:r>
          </w:p>
        </w:tc>
        <w:tc>
          <w:tcPr>
            <w:tcW w:w="266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紫外-可见分光光度计、原子吸收分光光度计、酸度计、火焰光度计、非金属材料化学成份快速分析仪、阿贝折射仪、旋光仪等</w:t>
            </w:r>
          </w:p>
        </w:tc>
        <w:tc>
          <w:tcPr>
            <w:tcW w:w="93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45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6</w:t>
            </w:r>
          </w:p>
        </w:tc>
        <w:tc>
          <w:tcPr>
            <w:tcW w:w="1250"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食品药品检测中心</w:t>
            </w:r>
          </w:p>
        </w:tc>
        <w:tc>
          <w:tcPr>
            <w:tcW w:w="3222"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吸收曲线的制作、定量分析操作、食品理化检测、定量分析操作、药品检测、有机物含量的测定有机物含量的测定</w:t>
            </w:r>
          </w:p>
        </w:tc>
        <w:tc>
          <w:tcPr>
            <w:tcW w:w="266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气相色谱仪、高效液相色谱仪、分子荧光光谱仪、紫外-可见分光光度计、原子吸收分光光度计心、多参数食品安全快速检测仪、农药残毒快速检测仪、自动凯氏定氮仪、亚硝酸盐速检测仪、超声波清洗机、样品粉碎机、离心机、电导率仪、分光光度计、pH计</w:t>
            </w:r>
          </w:p>
        </w:tc>
        <w:tc>
          <w:tcPr>
            <w:tcW w:w="93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45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7</w:t>
            </w:r>
          </w:p>
        </w:tc>
        <w:tc>
          <w:tcPr>
            <w:tcW w:w="1250"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仪器仿真实训室</w:t>
            </w:r>
          </w:p>
        </w:tc>
        <w:tc>
          <w:tcPr>
            <w:tcW w:w="3222"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大型仪器分析仿真等</w:t>
            </w:r>
          </w:p>
        </w:tc>
        <w:tc>
          <w:tcPr>
            <w:tcW w:w="266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电脑及仿真软件</w:t>
            </w:r>
          </w:p>
        </w:tc>
        <w:tc>
          <w:tcPr>
            <w:tcW w:w="936"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48</w:t>
            </w:r>
          </w:p>
        </w:tc>
      </w:tr>
    </w:tbl>
    <w:p>
      <w:pPr>
        <w:jc w:val="center"/>
        <w:rPr>
          <w:rFonts w:hint="eastAsia" w:ascii="宋体" w:hAnsi="宋体" w:eastAsia="宋体" w:cs="仿宋"/>
          <w:bCs/>
          <w:szCs w:val="21"/>
        </w:rPr>
      </w:pPr>
      <w:r>
        <w:rPr>
          <w:rFonts w:hint="eastAsia" w:ascii="宋体" w:hAnsi="宋体" w:eastAsia="宋体" w:cs="仿宋"/>
          <w:bCs/>
          <w:szCs w:val="21"/>
        </w:rPr>
        <w:t>备注：工位数指一次性容纳实验、实训项目学生人数。</w:t>
      </w:r>
    </w:p>
    <w:p>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2．校外实训基地</w:t>
      </w:r>
    </w:p>
    <w:p>
      <w:pPr>
        <w:spacing w:line="460" w:lineRule="exact"/>
        <w:ind w:firstLine="480" w:firstLineChars="200"/>
        <w:rPr>
          <w:rFonts w:hint="eastAsia" w:ascii="宋体" w:hAnsi="宋体" w:eastAsia="宋体" w:cs="仿宋"/>
          <w:bCs/>
          <w:szCs w:val="21"/>
        </w:rPr>
      </w:pPr>
      <w:r>
        <w:rPr>
          <w:rFonts w:hint="eastAsia" w:ascii="Times New Roman" w:hAnsi="Times New Roman" w:eastAsia="宋体" w:cs="Times New Roman"/>
          <w:sz w:val="24"/>
        </w:rPr>
        <w:t>为了更好地充分利用社会资源，根据食品药品监督管理专业的特点，以莆田本地区食品药品企业、食品药品检测和管理机构为校企合作基地，与莆田振兴乡村集团、莆田闽中有机食品有限公司、莆田市德龙药业有限公司、洪诚生物药业公司、英博雪津啤酒有限公司等20多家知名企业建立校外实训基地，为企业员工培训、共同开发科研项目等形式促进校企间深度合作，在办学体制创新、管理制度完善、运行机制改革进行探索、积极寻求适合本专业的发展途径。</w:t>
      </w:r>
    </w:p>
    <w:p>
      <w:pPr>
        <w:jc w:val="center"/>
        <w:rPr>
          <w:rFonts w:hint="eastAsia" w:ascii="宋体" w:hAnsi="宋体" w:eastAsia="宋体" w:cs="仿宋"/>
          <w:bCs/>
          <w:szCs w:val="21"/>
        </w:rPr>
      </w:pPr>
      <w:r>
        <w:rPr>
          <w:rFonts w:hint="eastAsia" w:ascii="宋体" w:hAnsi="宋体" w:eastAsia="宋体" w:cs="仿宋"/>
          <w:bCs/>
          <w:szCs w:val="21"/>
        </w:rPr>
        <w:t>表3  校外实训基地一览表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3568"/>
        <w:gridCol w:w="2994"/>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序号</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校外实训基地名称</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功能</w:t>
            </w:r>
          </w:p>
          <w:p>
            <w:pPr>
              <w:jc w:val="center"/>
              <w:rPr>
                <w:rFonts w:hint="eastAsia" w:ascii="宋体" w:hAnsi="宋体" w:eastAsia="宋体" w:cs="仿宋"/>
                <w:bCs/>
                <w:szCs w:val="21"/>
              </w:rPr>
            </w:pPr>
            <w:r>
              <w:rPr>
                <w:rFonts w:hint="eastAsia" w:ascii="宋体" w:hAnsi="宋体" w:eastAsia="宋体" w:cs="仿宋"/>
                <w:bCs/>
                <w:szCs w:val="21"/>
              </w:rPr>
              <w:t>（实训实习项目）</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工位数（个）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莆田振兴乡村集团</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食品品检、分析化验</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2</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莆田闽中有机食品有限公司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食品生产、检测分析</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3</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莆田市德龙药业有限公司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药品生产、药品分析</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4</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洪诚生物药业公司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药品生产、药品检测</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5</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福建复茂食品有限公司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生产控制、食品分析</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6</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福建中胜药业有限公司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药品分析</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7</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福建肖大妈食品有限公司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食品生产、营销</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8</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百草堂药业有限公司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药品监督管理、营销</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9</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英博雪津啤酒有限公司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啤酒生产、在线检测</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10</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益海嘉里集团泉州福海粮油工业有限公司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生产控制、产品分析</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11</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福建省三林药业有限公司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药品生产分析</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12</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莆田海都食品有限公司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食品原料、产品检测</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13</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圣泰药业公司</w:t>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药品生产、监管</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43"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14</w:t>
            </w:r>
          </w:p>
        </w:tc>
        <w:tc>
          <w:tcPr>
            <w:tcW w:w="3568" w:type="dxa"/>
            <w:noWrap/>
            <w:vAlign w:val="center"/>
          </w:tcPr>
          <w:p>
            <w:pPr>
              <w:jc w:val="center"/>
              <w:rPr>
                <w:rFonts w:hint="eastAsia" w:ascii="宋体" w:hAnsi="宋体" w:eastAsia="宋体" w:cs="仿宋"/>
                <w:bCs/>
                <w:szCs w:val="21"/>
              </w:rPr>
            </w:pPr>
            <w:r>
              <w:rPr>
                <w:rFonts w:hint="eastAsia" w:ascii="宋体" w:hAnsi="宋体" w:eastAsia="宋体" w:cs="仿宋"/>
                <w:bCs/>
                <w:szCs w:val="21"/>
              </w:rPr>
              <w:fldChar w:fldCharType="begin"/>
            </w:r>
            <w:r>
              <w:rPr>
                <w:rFonts w:hint="eastAsia" w:ascii="宋体" w:hAnsi="宋体" w:eastAsia="宋体" w:cs="仿宋"/>
                <w:bCs/>
                <w:szCs w:val="21"/>
              </w:rPr>
              <w:instrText xml:space="preserve">HYPERLINK "http://www.so.com/s?q=%E8%8E%86%E7%94%B0%E5%8F%B0%E5%AF%8C%E9%A3%9F%E5%93%81%E6%9C%89%E9%99%90%E5%85%AC%E5%8F%B8&amp;src=so_map" \t "http://ditu.so.com/_blank"</w:instrText>
            </w:r>
            <w:r>
              <w:rPr>
                <w:rFonts w:hint="eastAsia" w:ascii="宋体" w:hAnsi="宋体" w:eastAsia="宋体" w:cs="仿宋"/>
                <w:bCs/>
                <w:szCs w:val="21"/>
              </w:rPr>
              <w:fldChar w:fldCharType="separate"/>
            </w:r>
            <w:r>
              <w:rPr>
                <w:rFonts w:hint="eastAsia" w:ascii="宋体" w:hAnsi="宋体" w:eastAsia="宋体" w:cs="仿宋"/>
                <w:bCs/>
                <w:szCs w:val="21"/>
              </w:rPr>
              <w:t>莆田台富食品有限公司</w:t>
            </w:r>
            <w:r>
              <w:rPr>
                <w:rFonts w:hint="eastAsia" w:ascii="宋体" w:hAnsi="宋体" w:eastAsia="宋体" w:cs="仿宋"/>
                <w:bCs/>
                <w:szCs w:val="21"/>
              </w:rPr>
              <w:fldChar w:fldCharType="end"/>
            </w:r>
          </w:p>
        </w:tc>
        <w:tc>
          <w:tcPr>
            <w:tcW w:w="2994"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食品质量检测</w:t>
            </w:r>
          </w:p>
        </w:tc>
        <w:tc>
          <w:tcPr>
            <w:tcW w:w="1075" w:type="dxa"/>
            <w:noWrap/>
            <w:vAlign w:val="center"/>
          </w:tcPr>
          <w:p>
            <w:pPr>
              <w:jc w:val="center"/>
              <w:rPr>
                <w:rFonts w:hint="eastAsia" w:ascii="宋体" w:hAnsi="宋体" w:eastAsia="宋体" w:cs="仿宋"/>
                <w:bCs/>
                <w:szCs w:val="21"/>
              </w:rPr>
            </w:pPr>
            <w:r>
              <w:rPr>
                <w:rFonts w:hint="eastAsia" w:ascii="宋体" w:hAnsi="宋体" w:eastAsia="宋体" w:cs="仿宋"/>
                <w:bCs/>
                <w:szCs w:val="21"/>
              </w:rPr>
              <w:t>10</w:t>
            </w:r>
          </w:p>
        </w:tc>
      </w:tr>
    </w:tbl>
    <w:p>
      <w:pPr>
        <w:jc w:val="left"/>
        <w:rPr>
          <w:rFonts w:hint="eastAsia" w:ascii="宋体" w:hAnsi="宋体" w:eastAsia="宋体" w:cs="仿宋"/>
          <w:bCs/>
          <w:szCs w:val="21"/>
        </w:rPr>
      </w:pPr>
      <w:r>
        <w:rPr>
          <w:rFonts w:hint="eastAsia" w:ascii="宋体" w:hAnsi="宋体" w:eastAsia="宋体" w:cs="仿宋"/>
          <w:bCs/>
          <w:szCs w:val="21"/>
        </w:rPr>
        <w:t>备注：工位数指一次性容纳实验、实训项目学生人数。</w:t>
      </w:r>
    </w:p>
    <w:p>
      <w:pPr>
        <w:spacing w:line="360" w:lineRule="auto"/>
        <w:ind w:firstLine="480" w:firstLineChars="200"/>
        <w:rPr>
          <w:rFonts w:ascii="黑体" w:hAnsi="黑体" w:eastAsia="黑体"/>
          <w:sz w:val="24"/>
        </w:rPr>
      </w:pPr>
      <w:r>
        <w:rPr>
          <w:rFonts w:ascii="黑体" w:hAnsi="黑体" w:eastAsia="黑体"/>
          <w:sz w:val="24"/>
        </w:rPr>
        <w:t>（三）教学资源</w:t>
      </w:r>
    </w:p>
    <w:p>
      <w:pPr>
        <w:spacing w:line="360" w:lineRule="auto"/>
        <w:ind w:firstLine="480" w:firstLineChars="200"/>
        <w:rPr>
          <w:rFonts w:ascii="宋体" w:hAnsi="宋体" w:eastAsia="宋体" w:cs="Times New Roman"/>
          <w:sz w:val="24"/>
        </w:rPr>
      </w:pPr>
      <w:r>
        <w:rPr>
          <w:rFonts w:ascii="宋体" w:hAnsi="宋体" w:eastAsia="宋体" w:cs="Times New Roman"/>
          <w:sz w:val="24"/>
        </w:rPr>
        <w:t>1.校企合作特色课程建设</w:t>
      </w:r>
    </w:p>
    <w:p>
      <w:pPr>
        <w:spacing w:line="360" w:lineRule="auto"/>
        <w:ind w:firstLine="480" w:firstLineChars="200"/>
        <w:rPr>
          <w:sz w:val="24"/>
        </w:rPr>
      </w:pPr>
      <w:r>
        <w:rPr>
          <w:rFonts w:ascii="Times New Roman" w:hAnsi="Times New Roman" w:eastAsia="宋体" w:cs="Times New Roman"/>
          <w:sz w:val="24"/>
        </w:rPr>
        <w:t>由课程负责人牵头，围绕项目化课程教学改革，校企合作进行课程开发与设计；根据本区域食品药品行业企业发展需要和完成职业岗位实际工作任务所需要的知识、能力、素质要求，选取教学内容，强调课程内容的针对性、应用性、先进性，并及时将新技术、新材料、新工艺和新设备备等知识引入职业资格标准；以食品药品监督管理工作任务及其工作过程为依据选择教学项目、设计学习性工作任务和整合序化教学内容，体现教、学、做结合，提高学生职业道德与诚信素养和生产实践能力。完成《定量化学分析技术》等校企合作特色课程的建设。</w:t>
      </w:r>
    </w:p>
    <w:p>
      <w:pPr>
        <w:spacing w:line="360" w:lineRule="auto"/>
        <w:ind w:firstLine="480" w:firstLineChars="200"/>
        <w:rPr>
          <w:rFonts w:ascii="宋体" w:hAnsi="宋体"/>
          <w:sz w:val="24"/>
        </w:rPr>
      </w:pPr>
      <w:r>
        <w:rPr>
          <w:rFonts w:ascii="宋体" w:hAnsi="宋体"/>
          <w:sz w:val="24"/>
        </w:rPr>
        <w:t>2.校企合作特色教材建设</w:t>
      </w:r>
    </w:p>
    <w:p>
      <w:pPr>
        <w:spacing w:line="360" w:lineRule="auto"/>
        <w:ind w:firstLine="480" w:firstLineChars="200"/>
        <w:rPr>
          <w:sz w:val="24"/>
        </w:rPr>
      </w:pPr>
      <w:r>
        <w:rPr>
          <w:rFonts w:ascii="Times New Roman" w:hAnsi="Times New Roman" w:eastAsia="宋体" w:cs="Times New Roman"/>
          <w:sz w:val="24"/>
        </w:rPr>
        <w:t>校企合作特色教材建设实行校内专任教师与企业专家双责任人工作制度，按照食品药品职业岗位群的职业要求和职业资格标准，依据课程标准，校企共同开发项目化教材，编写提纲、收集教学项目和设计学习任务、进行编写分工、组织编审；确保项目化校本教材贴合企业生产实际，符合行业、企业技术标准，并突出课程内容的职业性、实践性、实用性和发展性，目前已建成校企合作特色教材2本。</w:t>
      </w:r>
    </w:p>
    <w:p>
      <w:pPr>
        <w:spacing w:line="360" w:lineRule="auto"/>
        <w:ind w:firstLine="480" w:firstLineChars="200"/>
        <w:rPr>
          <w:rFonts w:ascii="黑体" w:hAnsi="黑体" w:eastAsia="黑体" w:cs="Times New Roman"/>
          <w:sz w:val="24"/>
        </w:rPr>
      </w:pPr>
      <w:r>
        <w:rPr>
          <w:rFonts w:ascii="黑体" w:hAnsi="黑体" w:eastAsia="黑体" w:cs="Times New Roman"/>
          <w:sz w:val="24"/>
        </w:rPr>
        <w:t>（四）教学方法</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在教学中“以学生为中心”,积极改进教学方法，按照学生学习和认知规律和特点，从学生实际出发，以学生为主体，充分调动学生学习的积极性、主动性。专业核心课程的教学过程建议采用“教学做一体化”的教学模式，把课堂搬进实训中心，在设备现场进行相关课程内容的讲解，边讲边练，讲练结合，并配合多媒体课件等现代教育技术，增加学生的感性认识，启迪学生的科学思维，锻炼学生动手操作和工程实践能力。</w:t>
      </w:r>
    </w:p>
    <w:p>
      <w:pPr>
        <w:spacing w:line="360" w:lineRule="auto"/>
        <w:ind w:firstLine="480" w:firstLineChars="200"/>
        <w:rPr>
          <w:rFonts w:ascii="黑体" w:hAnsi="黑体" w:eastAsia="黑体" w:cs="Times New Roman"/>
          <w:sz w:val="24"/>
        </w:rPr>
      </w:pPr>
      <w:r>
        <w:rPr>
          <w:rFonts w:ascii="黑体" w:hAnsi="黑体" w:eastAsia="黑体" w:cs="Times New Roman"/>
          <w:sz w:val="24"/>
        </w:rPr>
        <w:t>（五）教学评价</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课程考核包含过程性考核+终结性考核两方面内容，尤其重视过程考核。过程性考核：按照课程教学目标制定知识、能力等方面的考核标准。每个学习情境完成后，由学生根据完成的过程和情况进行自评、互评、师评，形成过程考核成绩。终结性考核：在课程结束后，由教师根据课程的教学目标进行命题，完成终结性考核。</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在学院人才培养质量评价指标体系下，由合作企业、学院教学管理部门等，对教学过程、教学方法手段、教学效果等方面进行评价。</w:t>
      </w:r>
    </w:p>
    <w:p>
      <w:pPr>
        <w:spacing w:line="360" w:lineRule="auto"/>
        <w:ind w:firstLine="480" w:firstLineChars="200"/>
        <w:rPr>
          <w:rFonts w:ascii="黑体" w:hAnsi="黑体" w:eastAsia="黑体"/>
          <w:sz w:val="24"/>
        </w:rPr>
      </w:pPr>
      <w:r>
        <w:rPr>
          <w:rFonts w:ascii="黑体" w:hAnsi="黑体" w:eastAsia="黑体"/>
          <w:sz w:val="24"/>
        </w:rPr>
        <w:t>（六）质量管理</w:t>
      </w:r>
    </w:p>
    <w:p>
      <w:pPr>
        <w:spacing w:line="360" w:lineRule="auto"/>
        <w:ind w:firstLine="480" w:firstLineChars="200"/>
        <w:rPr>
          <w:rFonts w:ascii="宋体" w:hAnsi="宋体" w:eastAsia="宋体" w:cs="Times New Roman"/>
          <w:sz w:val="24"/>
        </w:rPr>
      </w:pPr>
      <w:r>
        <w:rPr>
          <w:rFonts w:ascii="宋体" w:hAnsi="宋体" w:eastAsia="宋体" w:cs="Times New Roman"/>
          <w:sz w:val="24"/>
        </w:rPr>
        <w:t>1.专业建设指导委员会</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在学院校企合作理事会指导下，成立食品药品监督管理专业建设指导委员，成员由食品、医药行业专家、政府人员、食品企业业务骨干、专业带头人</w:t>
      </w:r>
      <w:r>
        <w:rPr>
          <w:rFonts w:hint="eastAsia" w:ascii="Times New Roman" w:hAnsi="Times New Roman" w:eastAsia="宋体" w:cs="Times New Roman"/>
          <w:sz w:val="24"/>
        </w:rPr>
        <w:t>、校内外一线</w:t>
      </w:r>
      <w:r>
        <w:rPr>
          <w:rFonts w:ascii="Times New Roman" w:hAnsi="Times New Roman" w:eastAsia="宋体" w:cs="Times New Roman"/>
          <w:sz w:val="24"/>
        </w:rPr>
        <w:t>教师</w:t>
      </w:r>
      <w:r>
        <w:rPr>
          <w:rFonts w:hint="eastAsia" w:ascii="Times New Roman" w:hAnsi="Times New Roman" w:eastAsia="宋体" w:cs="Times New Roman"/>
          <w:sz w:val="24"/>
        </w:rPr>
        <w:t>和学生代表</w:t>
      </w:r>
      <w:r>
        <w:rPr>
          <w:rFonts w:ascii="Times New Roman" w:hAnsi="Times New Roman" w:eastAsia="宋体" w:cs="Times New Roman"/>
          <w:sz w:val="24"/>
        </w:rPr>
        <w:t>组成，形成多方参与、多方合作、共同建设的运行机制。每年召开一次专业建设指导委员会会议，定期召开专题会议，参与人才培养方案的制定，促进校企共同开发课程、指导专业校内外实习和实训基地建设，研究专业人才培养中的问题，并提出解决方法和措施，提升人才培养质量。</w:t>
      </w:r>
    </w:p>
    <w:p>
      <w:pPr>
        <w:spacing w:line="360" w:lineRule="auto"/>
        <w:ind w:firstLine="480" w:firstLineChars="200"/>
        <w:rPr>
          <w:rFonts w:ascii="宋体" w:hAnsi="宋体" w:eastAsia="宋体" w:cs="Times New Roman"/>
          <w:sz w:val="24"/>
        </w:rPr>
      </w:pPr>
      <w:r>
        <w:rPr>
          <w:rFonts w:ascii="宋体" w:hAnsi="宋体" w:eastAsia="宋体" w:cs="Times New Roman"/>
          <w:sz w:val="24"/>
        </w:rPr>
        <w:t>2.系教学工作督导组</w:t>
      </w:r>
    </w:p>
    <w:p>
      <w:pPr>
        <w:spacing w:line="460" w:lineRule="exact"/>
        <w:ind w:left="105" w:leftChars="50" w:firstLine="480" w:firstLineChars="200"/>
        <w:rPr>
          <w:sz w:val="24"/>
        </w:rPr>
      </w:pPr>
      <w:r>
        <w:rPr>
          <w:rFonts w:ascii="Times New Roman" w:hAnsi="Times New Roman" w:eastAsia="宋体" w:cs="Times New Roman"/>
          <w:sz w:val="24"/>
        </w:rPr>
        <w:t>由化学工程系主任、副主任、教研室主任和骨干教师组成本系教学督导工作组，负责对专业及专兼职教师日常教学工作的完成情况进行督导考核，对校企合作项目化课程改革进行指导，督促专业教师通过论文撰写、教材编写、顶岗实践等多种形式提升自我实践教学能力。</w:t>
      </w:r>
    </w:p>
    <w:p>
      <w:pPr>
        <w:spacing w:line="360" w:lineRule="auto"/>
        <w:ind w:firstLine="480" w:firstLineChars="200"/>
        <w:rPr>
          <w:rFonts w:ascii="宋体" w:hAnsi="宋体" w:eastAsia="宋体" w:cs="Times New Roman"/>
          <w:sz w:val="24"/>
        </w:rPr>
      </w:pPr>
      <w:r>
        <w:rPr>
          <w:rFonts w:ascii="宋体" w:hAnsi="宋体" w:eastAsia="宋体" w:cs="Times New Roman"/>
          <w:sz w:val="24"/>
        </w:rPr>
        <w:t>3.完善教学质量保障体系</w:t>
      </w:r>
    </w:p>
    <w:p>
      <w:pPr>
        <w:spacing w:line="460" w:lineRule="exact"/>
        <w:ind w:firstLine="480" w:firstLineChars="200"/>
        <w:rPr>
          <w:sz w:val="24"/>
        </w:rPr>
      </w:pPr>
      <w:r>
        <w:rPr>
          <w:rFonts w:ascii="Times New Roman" w:hAnsi="Times New Roman" w:eastAsia="宋体" w:cs="Times New Roman"/>
          <w:sz w:val="24"/>
        </w:rPr>
        <w:t>为保证人才培养质量，加强专业教学质量监控，专业制定了教学信息反馈制度、教学常规检查制度、顶岗实习制度。通过每学期的期初、期中、期末检查，对专业教师日常教学工作的完成情况进行督导考核，提高教学过程各个环节的教学质量；通过开展学生评教、学生信息员反馈、毕业生信息反馈等活动，增强学生与教师的双向互动，不断完善教学过程；通过专业建设指导委员会、实践专家访谈会、学生赴企业顶岗实习、实地走访调研等形式，及时收集政府、行业、企业专家对专业人才培养和教学质量的评价和反馈，促进教学工作不断改进，保障和提高教学质量。</w:t>
      </w:r>
    </w:p>
    <w:p>
      <w:pPr>
        <w:ind w:firstLine="472" w:firstLineChars="196"/>
        <w:rPr>
          <w:rFonts w:eastAsia="黑体"/>
          <w:b/>
          <w:sz w:val="24"/>
        </w:rPr>
      </w:pPr>
      <w:r>
        <w:rPr>
          <w:rFonts w:eastAsia="黑体"/>
          <w:b/>
          <w:sz w:val="24"/>
        </w:rPr>
        <w:t>十、毕业要求</w:t>
      </w:r>
    </w:p>
    <w:p>
      <w:pPr>
        <w:spacing w:line="460" w:lineRule="exac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积极探索</w:t>
      </w:r>
      <w:r>
        <w:rPr>
          <w:rFonts w:ascii="Times New Roman" w:hAnsi="Times New Roman" w:eastAsia="宋体" w:cs="Times New Roman"/>
          <w:sz w:val="24"/>
        </w:rPr>
        <w:t>“1+X”</w:t>
      </w:r>
      <w:r>
        <w:rPr>
          <w:rFonts w:hint="eastAsia" w:ascii="Times New Roman" w:hAnsi="Times New Roman" w:eastAsia="宋体" w:cs="Times New Roman"/>
          <w:sz w:val="24"/>
        </w:rPr>
        <w:t>证书制度试点，本专业学生必须至少满足以下基本条件方能毕业：</w:t>
      </w:r>
    </w:p>
    <w:p>
      <w:pPr>
        <w:spacing w:line="46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l</w:t>
      </w:r>
      <w:r>
        <w:rPr>
          <w:rFonts w:hint="eastAsia" w:ascii="Times New Roman" w:hAnsi="Times New Roman" w:eastAsia="宋体" w:cs="Times New Roman"/>
          <w:sz w:val="24"/>
        </w:rPr>
        <w:t>、修满</w:t>
      </w:r>
      <w:r>
        <w:rPr>
          <w:rFonts w:hint="eastAsia" w:ascii="Times New Roman" w:hAnsi="Times New Roman" w:eastAsia="宋体" w:cs="Times New Roman"/>
          <w:sz w:val="24"/>
          <w:lang w:val="en-US" w:eastAsia="zh-CN"/>
        </w:rPr>
        <w:t>244</w:t>
      </w:r>
      <w:r>
        <w:rPr>
          <w:rFonts w:hint="eastAsia" w:ascii="Times New Roman" w:hAnsi="Times New Roman" w:eastAsia="宋体" w:cs="Times New Roman"/>
          <w:sz w:val="24"/>
        </w:rPr>
        <w:t>学分（其中：公共基础课程</w:t>
      </w:r>
      <w:r>
        <w:rPr>
          <w:rFonts w:hint="eastAsia" w:ascii="Times New Roman" w:hAnsi="Times New Roman" w:eastAsia="宋体" w:cs="Times New Roman"/>
          <w:sz w:val="24"/>
          <w:lang w:val="en-US" w:eastAsia="zh-CN"/>
        </w:rPr>
        <w:t>107</w:t>
      </w:r>
      <w:r>
        <w:rPr>
          <w:rFonts w:hint="eastAsia" w:ascii="Times New Roman" w:hAnsi="Times New Roman" w:eastAsia="宋体" w:cs="Times New Roman"/>
          <w:sz w:val="24"/>
        </w:rPr>
        <w:t>学分，专业课程</w:t>
      </w:r>
      <w:r>
        <w:rPr>
          <w:rFonts w:hint="eastAsia" w:ascii="Times New Roman" w:hAnsi="Times New Roman" w:eastAsia="宋体" w:cs="Times New Roman"/>
          <w:sz w:val="24"/>
          <w:lang w:val="en-US" w:eastAsia="zh-CN"/>
        </w:rPr>
        <w:t>137</w:t>
      </w:r>
      <w:bookmarkStart w:id="1" w:name="_GoBack"/>
      <w:bookmarkEnd w:id="1"/>
      <w:r>
        <w:rPr>
          <w:rFonts w:hint="eastAsia" w:ascii="Times New Roman" w:hAnsi="Times New Roman" w:eastAsia="宋体" w:cs="Times New Roman"/>
          <w:sz w:val="24"/>
        </w:rPr>
        <w:t>学分）；</w:t>
      </w:r>
    </w:p>
    <w:p>
      <w:pPr>
        <w:spacing w:line="460" w:lineRule="exact"/>
        <w:ind w:firstLine="480" w:firstLineChars="200"/>
        <w:rPr>
          <w:rFonts w:hint="eastAsia"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rPr>
        <w:t>、获得全国高校计算机水平等级考试一级证书和</w:t>
      </w:r>
      <w:r>
        <w:rPr>
          <w:rFonts w:ascii="Times New Roman" w:hAnsi="Times New Roman" w:eastAsia="宋体" w:cs="Times New Roman"/>
          <w:sz w:val="24"/>
        </w:rPr>
        <w:t>1</w:t>
      </w:r>
      <w:r>
        <w:rPr>
          <w:rFonts w:hint="eastAsia" w:ascii="Times New Roman" w:hAnsi="Times New Roman" w:eastAsia="宋体" w:cs="Times New Roman"/>
          <w:sz w:val="24"/>
        </w:rPr>
        <w:t>项院级及以上比赛奖状；</w:t>
      </w:r>
    </w:p>
    <w:p>
      <w:pPr>
        <w:spacing w:line="460" w:lineRule="exact"/>
        <w:ind w:firstLine="480" w:firstLineChars="200"/>
      </w:pPr>
      <w:r>
        <w:rPr>
          <w:rFonts w:hint="eastAsia" w:ascii="Times New Roman" w:hAnsi="Times New Roman" w:eastAsia="宋体" w:cs="Times New Roman"/>
          <w:sz w:val="24"/>
        </w:rPr>
        <w:t>3</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获得一本与本专业相关或相近专业的职业资格证书；鼓励参加“1+X”</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粮农食品安全评价</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职业资格证书认证。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长城宋体">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方正大黑简体">
    <w:altName w:val="黑体"/>
    <w:panose1 w:val="02010601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仿宋简体">
    <w:altName w:val="微软雅黑"/>
    <w:panose1 w:val="02010601030101010101"/>
    <w:charset w:val="86"/>
    <w:family w:val="auto"/>
    <w:pitch w:val="default"/>
    <w:sig w:usb0="00000000" w:usb1="00000000" w:usb2="00000000" w:usb3="00000000" w:csb0="00040000" w:csb1="00000000"/>
  </w:font>
  <w:font w:name="Segoe UI Symbol">
    <w:panose1 w:val="020B0502040204020203"/>
    <w:charset w:val="00"/>
    <w:family w:val="swiss"/>
    <w:pitch w:val="default"/>
    <w:sig w:usb0="8000006F" w:usb1="1200FBEF" w:usb2="0064C000" w:usb3="00000002" w:csb0="00000001" w:csb1="4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lang w:val="zh-CN"/>
      </w:rPr>
      <w:t>30</w:t>
    </w:r>
    <w:r>
      <w:rPr>
        <w:rFonts w:ascii="Times New Roman" w:hAnsi="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8509583"/>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42</w:t>
        </w:r>
        <w:r>
          <w:fldChar w:fldCharType="end"/>
        </w:r>
      </w:p>
    </w:sdtContent>
  </w:sdt>
  <w:p>
    <w:pPr>
      <w:pStyle w:val="16"/>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84E59"/>
    <w:multiLevelType w:val="singleLevel"/>
    <w:tmpl w:val="9A084E59"/>
    <w:lvl w:ilvl="0" w:tentative="0">
      <w:start w:val="1"/>
      <w:numFmt w:val="chineseCounting"/>
      <w:pStyle w:val="2"/>
      <w:suff w:val="nothing"/>
      <w:lvlText w:val="%1、"/>
      <w:lvlJc w:val="left"/>
      <w:pPr>
        <w:ind w:left="0" w:firstLine="0"/>
      </w:pPr>
      <w:rPr>
        <w:rFonts w:hint="eastAsia" w:ascii="黑体" w:hAnsi="黑体" w:eastAsia="黑体" w:cs="黑体"/>
        <w:b/>
        <w:bCs/>
        <w:sz w:val="32"/>
        <w:szCs w:val="32"/>
      </w:rPr>
    </w:lvl>
  </w:abstractNum>
  <w:abstractNum w:abstractNumId="1">
    <w:nsid w:val="BCC7BD64"/>
    <w:multiLevelType w:val="singleLevel"/>
    <w:tmpl w:val="BCC7BD64"/>
    <w:lvl w:ilvl="0" w:tentative="0">
      <w:start w:val="1"/>
      <w:numFmt w:val="chineseCounting"/>
      <w:pStyle w:val="3"/>
      <w:suff w:val="nothing"/>
      <w:lvlText w:val="（%1）"/>
      <w:lvlJc w:val="left"/>
      <w:pPr>
        <w:ind w:left="0" w:firstLine="0"/>
      </w:pPr>
      <w:rPr>
        <w:rFonts w:hint="eastAsia" w:ascii="仿宋" w:hAnsi="仿宋" w:eastAsia="仿宋" w:cs="仿宋"/>
        <w:b/>
        <w:bCs/>
        <w:sz w:val="30"/>
        <w:szCs w:val="30"/>
      </w:rPr>
    </w:lvl>
  </w:abstractNum>
  <w:abstractNum w:abstractNumId="2">
    <w:nsid w:val="60D1584D"/>
    <w:multiLevelType w:val="singleLevel"/>
    <w:tmpl w:val="60D1584D"/>
    <w:lvl w:ilvl="0" w:tentative="0">
      <w:start w:val="1"/>
      <w:numFmt w:val="decimal"/>
      <w:pStyle w:val="4"/>
      <w:suff w:val="nothing"/>
      <w:lvlText w:val="%1."/>
      <w:lvlJc w:val="left"/>
      <w:pPr>
        <w:tabs>
          <w:tab w:val="left" w:pos="0"/>
        </w:tabs>
        <w:ind w:left="0" w:firstLine="0"/>
      </w:pPr>
      <w:rPr>
        <w:rFonts w:hint="eastAsia" w:ascii="仿宋" w:hAnsi="仿宋" w:eastAsia="仿宋" w:cs="仿宋"/>
        <w:b/>
        <w:bCs/>
        <w:sz w:val="28"/>
        <w:szCs w:val="28"/>
      </w:rPr>
    </w:lvl>
  </w:abstractNum>
  <w:abstractNum w:abstractNumId="3">
    <w:nsid w:val="69BF51A8"/>
    <w:multiLevelType w:val="singleLevel"/>
    <w:tmpl w:val="69BF51A8"/>
    <w:lvl w:ilvl="0" w:tentative="0">
      <w:start w:val="1"/>
      <w:numFmt w:val="decimal"/>
      <w:pStyle w:val="5"/>
      <w:suff w:val="nothing"/>
      <w:lvlText w:val="（%1）"/>
      <w:lvlJc w:val="left"/>
      <w:pPr>
        <w:tabs>
          <w:tab w:val="left" w:pos="0"/>
        </w:tabs>
        <w:ind w:left="0" w:firstLine="0"/>
      </w:pPr>
      <w:rPr>
        <w:rFonts w:hint="eastAsia" w:ascii="宋体" w:hAnsi="宋体" w:eastAsia="宋体" w:cs="宋体"/>
        <w:sz w:val="28"/>
        <w:szCs w:val="28"/>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762"/>
    <w:rsid w:val="00086C0B"/>
    <w:rsid w:val="001207AC"/>
    <w:rsid w:val="00124F4F"/>
    <w:rsid w:val="00137CDC"/>
    <w:rsid w:val="00160BF7"/>
    <w:rsid w:val="00161167"/>
    <w:rsid w:val="001625F3"/>
    <w:rsid w:val="001A2328"/>
    <w:rsid w:val="00213F2D"/>
    <w:rsid w:val="00261398"/>
    <w:rsid w:val="002B32BC"/>
    <w:rsid w:val="002D2948"/>
    <w:rsid w:val="00340F05"/>
    <w:rsid w:val="0038369F"/>
    <w:rsid w:val="003A556D"/>
    <w:rsid w:val="00513232"/>
    <w:rsid w:val="00540586"/>
    <w:rsid w:val="00560045"/>
    <w:rsid w:val="00576E30"/>
    <w:rsid w:val="00593584"/>
    <w:rsid w:val="005B562F"/>
    <w:rsid w:val="005D63CA"/>
    <w:rsid w:val="005F0308"/>
    <w:rsid w:val="006B0A37"/>
    <w:rsid w:val="006B7BF8"/>
    <w:rsid w:val="00706556"/>
    <w:rsid w:val="00712FF9"/>
    <w:rsid w:val="00716475"/>
    <w:rsid w:val="007F3014"/>
    <w:rsid w:val="00945172"/>
    <w:rsid w:val="00973000"/>
    <w:rsid w:val="0098454D"/>
    <w:rsid w:val="009C4008"/>
    <w:rsid w:val="009E7F97"/>
    <w:rsid w:val="00A52032"/>
    <w:rsid w:val="00A7016C"/>
    <w:rsid w:val="00A830C7"/>
    <w:rsid w:val="00A87D1A"/>
    <w:rsid w:val="00A94A46"/>
    <w:rsid w:val="00B021CA"/>
    <w:rsid w:val="00B8059E"/>
    <w:rsid w:val="00B95189"/>
    <w:rsid w:val="00BD34B9"/>
    <w:rsid w:val="00C04F1C"/>
    <w:rsid w:val="00C46FEC"/>
    <w:rsid w:val="00C47BF7"/>
    <w:rsid w:val="00C508E2"/>
    <w:rsid w:val="00CE35CE"/>
    <w:rsid w:val="00D1547B"/>
    <w:rsid w:val="00D6754C"/>
    <w:rsid w:val="00DC341C"/>
    <w:rsid w:val="00DF7FDF"/>
    <w:rsid w:val="00E26B3E"/>
    <w:rsid w:val="00E53AF3"/>
    <w:rsid w:val="00EA3EFD"/>
    <w:rsid w:val="00EC5748"/>
    <w:rsid w:val="00EC6378"/>
    <w:rsid w:val="00F2052E"/>
    <w:rsid w:val="038C1CDD"/>
    <w:rsid w:val="04A23EC2"/>
    <w:rsid w:val="1275385C"/>
    <w:rsid w:val="14EB28E9"/>
    <w:rsid w:val="1BD92E09"/>
    <w:rsid w:val="29BF7F31"/>
    <w:rsid w:val="2FA95768"/>
    <w:rsid w:val="2FED5619"/>
    <w:rsid w:val="30914AF4"/>
    <w:rsid w:val="3CCB152F"/>
    <w:rsid w:val="5372083E"/>
    <w:rsid w:val="53B67ABD"/>
    <w:rsid w:val="581C3FB0"/>
    <w:rsid w:val="5AFA64EB"/>
    <w:rsid w:val="662A207C"/>
    <w:rsid w:val="6E331D08"/>
    <w:rsid w:val="73362CE8"/>
    <w:rsid w:val="7CDB72E5"/>
    <w:rsid w:val="7EC10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uiPriority="99" w:name="Body Text First Indent"/>
    <w:lsdException w:uiPriority="99" w:name="Body Text First Indent 2"/>
    <w:lsdException w:uiPriority="99" w:name="Note Heading"/>
    <w:lsdException w:qFormat="1" w:uiPriority="0" w:name="Body Text 2"/>
    <w:lsdException w:qFormat="1" w:uiPriority="0" w:name="Body Text 3"/>
    <w:lsdException w:qFormat="1" w:uiPriority="0" w:name="Body Text Indent 2"/>
    <w:lsdException w:qFormat="1" w:uiPriority="0" w:name="Body Text Indent 3"/>
    <w:lsdException w:qFormat="1" w:uiPriority="0" w:name="Block Text"/>
    <w:lsdException w:qFormat="1" w:uiPriority="99" w:name="Hyperlink"/>
    <w:lsdException w:qFormat="1" w:uiPriority="99" w:name="FollowedHyperlink"/>
    <w:lsdException w:qFormat="1" w:unhideWhenUsed="0" w:uiPriority="22" w:semiHidden="0" w:name="Strong"/>
    <w:lsdException w:qFormat="1" w:unhideWhenUsed="0" w:uiPriority="0" w:semiHidden="0" w:name="Emphasis"/>
    <w:lsdException w:qFormat="1" w:uiPriority="0" w:name="Document Map"/>
    <w:lsdException w:qFormat="1" w:uiPriority="0"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142"/>
    <w:qFormat/>
    <w:uiPriority w:val="9"/>
    <w:pPr>
      <w:numPr>
        <w:ilvl w:val="0"/>
        <w:numId w:val="1"/>
      </w:numPr>
      <w:tabs>
        <w:tab w:val="left" w:pos="0"/>
      </w:tabs>
      <w:ind w:firstLineChars="0"/>
      <w:outlineLvl w:val="0"/>
    </w:pPr>
    <w:rPr>
      <w:rFonts w:ascii="黑体" w:hAnsi="黑体" w:eastAsia="黑体"/>
      <w:kern w:val="44"/>
    </w:rPr>
  </w:style>
  <w:style w:type="paragraph" w:styleId="3">
    <w:name w:val="heading 2"/>
    <w:basedOn w:val="4"/>
    <w:next w:val="1"/>
    <w:link w:val="141"/>
    <w:semiHidden/>
    <w:unhideWhenUsed/>
    <w:qFormat/>
    <w:uiPriority w:val="9"/>
    <w:pPr>
      <w:numPr>
        <w:ilvl w:val="0"/>
        <w:numId w:val="2"/>
      </w:numPr>
      <w:tabs>
        <w:tab w:val="left" w:pos="0"/>
      </w:tabs>
      <w:spacing w:beforeLines="50"/>
      <w:outlineLvl w:val="1"/>
    </w:pPr>
    <w:rPr>
      <w:sz w:val="32"/>
    </w:rPr>
  </w:style>
  <w:style w:type="paragraph" w:styleId="4">
    <w:name w:val="heading 3"/>
    <w:basedOn w:val="1"/>
    <w:next w:val="1"/>
    <w:link w:val="140"/>
    <w:semiHidden/>
    <w:unhideWhenUsed/>
    <w:qFormat/>
    <w:uiPriority w:val="9"/>
    <w:pPr>
      <w:keepNext/>
      <w:keepLines/>
      <w:numPr>
        <w:ilvl w:val="0"/>
        <w:numId w:val="3"/>
      </w:numPr>
      <w:spacing w:line="312" w:lineRule="auto"/>
      <w:ind w:firstLine="643" w:firstLineChars="200"/>
      <w:outlineLvl w:val="2"/>
    </w:pPr>
    <w:rPr>
      <w:rFonts w:ascii="仿宋" w:hAnsi="仿宋" w:eastAsia="仿宋" w:cs="Times New Roman"/>
      <w:b/>
      <w:sz w:val="28"/>
      <w:szCs w:val="24"/>
    </w:rPr>
  </w:style>
  <w:style w:type="paragraph" w:styleId="5">
    <w:name w:val="heading 4"/>
    <w:next w:val="1"/>
    <w:link w:val="143"/>
    <w:semiHidden/>
    <w:unhideWhenUsed/>
    <w:qFormat/>
    <w:uiPriority w:val="9"/>
    <w:pPr>
      <w:keepNext/>
      <w:keepLines/>
      <w:numPr>
        <w:ilvl w:val="0"/>
        <w:numId w:val="4"/>
      </w:numPr>
      <w:spacing w:line="312" w:lineRule="auto"/>
      <w:ind w:firstLine="560" w:firstLineChars="200"/>
      <w:outlineLvl w:val="3"/>
    </w:pPr>
    <w:rPr>
      <w:rFonts w:ascii="仿宋" w:hAnsi="仿宋" w:eastAsia="仿宋" w:cs="Times New Roman"/>
      <w:kern w:val="0"/>
      <w:sz w:val="28"/>
      <w:szCs w:val="20"/>
      <w:lang w:val="en-US" w:eastAsia="zh-CN" w:bidi="ar-SA"/>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47"/>
    <w:semiHidden/>
    <w:unhideWhenUsed/>
    <w:qFormat/>
    <w:uiPriority w:val="0"/>
    <w:pPr>
      <w:shd w:val="clear" w:color="auto" w:fill="000080"/>
    </w:pPr>
    <w:rPr>
      <w:rFonts w:ascii="Calibri" w:hAnsi="Calibri" w:eastAsia="宋体" w:cs="Times New Roman"/>
      <w:kern w:val="0"/>
      <w:sz w:val="20"/>
      <w:szCs w:val="24"/>
    </w:rPr>
  </w:style>
  <w:style w:type="paragraph" w:styleId="7">
    <w:name w:val="annotation text"/>
    <w:basedOn w:val="1"/>
    <w:link w:val="144"/>
    <w:semiHidden/>
    <w:unhideWhenUsed/>
    <w:qFormat/>
    <w:uiPriority w:val="0"/>
    <w:pPr>
      <w:spacing w:line="312" w:lineRule="auto"/>
      <w:ind w:firstLine="643" w:firstLineChars="200"/>
      <w:jc w:val="left"/>
    </w:pPr>
    <w:rPr>
      <w:rFonts w:ascii="仿宋" w:hAnsi="仿宋" w:eastAsia="仿宋" w:cs="Times New Roman"/>
      <w:sz w:val="28"/>
      <w:szCs w:val="24"/>
    </w:rPr>
  </w:style>
  <w:style w:type="paragraph" w:styleId="8">
    <w:name w:val="Body Text 3"/>
    <w:basedOn w:val="1"/>
    <w:link w:val="44"/>
    <w:semiHidden/>
    <w:unhideWhenUsed/>
    <w:qFormat/>
    <w:uiPriority w:val="0"/>
    <w:pPr>
      <w:autoSpaceDE w:val="0"/>
      <w:autoSpaceDN w:val="0"/>
      <w:adjustRightInd w:val="0"/>
      <w:spacing w:before="4" w:line="360" w:lineRule="exact"/>
      <w:jc w:val="left"/>
    </w:pPr>
    <w:rPr>
      <w:rFonts w:ascii="Calibri" w:hAnsi="宋体" w:eastAsia="宋体" w:cs="Times New Roman"/>
      <w:color w:val="000000"/>
      <w:kern w:val="0"/>
      <w:sz w:val="24"/>
      <w:szCs w:val="18"/>
    </w:rPr>
  </w:style>
  <w:style w:type="paragraph" w:styleId="9">
    <w:name w:val="Body Text"/>
    <w:basedOn w:val="1"/>
    <w:link w:val="40"/>
    <w:semiHidden/>
    <w:unhideWhenUsed/>
    <w:qFormat/>
    <w:uiPriority w:val="0"/>
    <w:pPr>
      <w:spacing w:after="120"/>
    </w:pPr>
    <w:rPr>
      <w:rFonts w:ascii="Calibri" w:hAnsi="Calibri" w:eastAsia="宋体" w:cs="Times New Roman"/>
      <w:kern w:val="0"/>
      <w:sz w:val="20"/>
      <w:szCs w:val="24"/>
    </w:rPr>
  </w:style>
  <w:style w:type="paragraph" w:styleId="10">
    <w:name w:val="Body Text Indent"/>
    <w:basedOn w:val="1"/>
    <w:link w:val="41"/>
    <w:semiHidden/>
    <w:unhideWhenUsed/>
    <w:qFormat/>
    <w:uiPriority w:val="0"/>
    <w:pPr>
      <w:widowControl/>
      <w:spacing w:before="100" w:beforeAutospacing="1" w:after="100" w:afterAutospacing="1"/>
      <w:jc w:val="left"/>
    </w:pPr>
    <w:rPr>
      <w:rFonts w:ascii="Arial" w:hAnsi="Arial" w:eastAsia="宋体" w:cs="Times New Roman"/>
      <w:color w:val="000000"/>
      <w:kern w:val="0"/>
      <w:sz w:val="20"/>
      <w:szCs w:val="20"/>
    </w:rPr>
  </w:style>
  <w:style w:type="paragraph" w:styleId="11">
    <w:name w:val="Block Text"/>
    <w:basedOn w:val="1"/>
    <w:semiHidden/>
    <w:unhideWhenUsed/>
    <w:qFormat/>
    <w:uiPriority w:val="0"/>
    <w:pPr>
      <w:ind w:left="1182" w:leftChars="572" w:right="17" w:rightChars="8" w:firstLine="420" w:firstLineChars="200"/>
    </w:pPr>
    <w:rPr>
      <w:rFonts w:ascii="长城宋体" w:hAnsi="Calibri" w:eastAsia="长城宋体" w:cs="Times New Roman"/>
      <w:bCs/>
      <w:color w:val="000000"/>
      <w:szCs w:val="20"/>
    </w:rPr>
  </w:style>
  <w:style w:type="paragraph" w:styleId="12">
    <w:name w:val="Plain Text"/>
    <w:basedOn w:val="1"/>
    <w:link w:val="48"/>
    <w:semiHidden/>
    <w:unhideWhenUsed/>
    <w:qFormat/>
    <w:uiPriority w:val="0"/>
    <w:rPr>
      <w:rFonts w:ascii="宋体" w:hAnsi="Courier New" w:eastAsia="宋体" w:cs="Times New Roman"/>
      <w:kern w:val="0"/>
      <w:sz w:val="20"/>
      <w:szCs w:val="20"/>
    </w:rPr>
  </w:style>
  <w:style w:type="paragraph" w:styleId="13">
    <w:name w:val="Date"/>
    <w:basedOn w:val="1"/>
    <w:next w:val="1"/>
    <w:link w:val="42"/>
    <w:semiHidden/>
    <w:unhideWhenUsed/>
    <w:qFormat/>
    <w:uiPriority w:val="0"/>
    <w:pPr>
      <w:ind w:left="100" w:leftChars="2500"/>
    </w:pPr>
    <w:rPr>
      <w:rFonts w:ascii="Calibri" w:hAnsi="Calibri" w:eastAsia="宋体" w:cs="Times New Roman"/>
      <w:kern w:val="0"/>
      <w:sz w:val="20"/>
      <w:szCs w:val="24"/>
    </w:rPr>
  </w:style>
  <w:style w:type="paragraph" w:styleId="14">
    <w:name w:val="Body Text Indent 2"/>
    <w:basedOn w:val="1"/>
    <w:link w:val="45"/>
    <w:semiHidden/>
    <w:unhideWhenUsed/>
    <w:qFormat/>
    <w:uiPriority w:val="0"/>
    <w:pPr>
      <w:spacing w:line="480" w:lineRule="exact"/>
      <w:ind w:firstLine="570"/>
    </w:pPr>
    <w:rPr>
      <w:rFonts w:ascii="仿宋_GB2312" w:hAnsi="Calibri" w:eastAsia="仿宋_GB2312" w:cs="Times New Roman"/>
      <w:color w:val="000000"/>
      <w:kern w:val="0"/>
      <w:sz w:val="32"/>
      <w:szCs w:val="20"/>
    </w:rPr>
  </w:style>
  <w:style w:type="paragraph" w:styleId="15">
    <w:name w:val="Balloon Text"/>
    <w:basedOn w:val="1"/>
    <w:link w:val="146"/>
    <w:semiHidden/>
    <w:unhideWhenUsed/>
    <w:qFormat/>
    <w:uiPriority w:val="0"/>
    <w:pPr>
      <w:ind w:firstLine="643" w:firstLineChars="200"/>
    </w:pPr>
    <w:rPr>
      <w:rFonts w:ascii="仿宋" w:hAnsi="仿宋" w:eastAsia="仿宋" w:cs="Times New Roman"/>
      <w:sz w:val="18"/>
      <w:szCs w:val="18"/>
    </w:rPr>
  </w:style>
  <w:style w:type="paragraph" w:styleId="16">
    <w:name w:val="footer"/>
    <w:basedOn w:val="1"/>
    <w:link w:val="147"/>
    <w:unhideWhenUsed/>
    <w:qFormat/>
    <w:uiPriority w:val="99"/>
    <w:pPr>
      <w:tabs>
        <w:tab w:val="center" w:pos="4153"/>
        <w:tab w:val="right" w:pos="8306"/>
      </w:tabs>
      <w:snapToGrid w:val="0"/>
      <w:spacing w:line="312" w:lineRule="auto"/>
      <w:ind w:firstLine="643" w:firstLineChars="200"/>
      <w:jc w:val="left"/>
    </w:pPr>
    <w:rPr>
      <w:rFonts w:ascii="仿宋" w:hAnsi="仿宋" w:eastAsia="仿宋" w:cs="Times New Roman"/>
      <w:sz w:val="18"/>
      <w:szCs w:val="24"/>
    </w:rPr>
  </w:style>
  <w:style w:type="paragraph" w:styleId="17">
    <w:name w:val="header"/>
    <w:basedOn w:val="1"/>
    <w:link w:val="148"/>
    <w:unhideWhenUsed/>
    <w:qFormat/>
    <w:uiPriority w:val="0"/>
    <w:pPr>
      <w:tabs>
        <w:tab w:val="center" w:pos="4153"/>
        <w:tab w:val="right" w:pos="8306"/>
      </w:tabs>
      <w:snapToGrid w:val="0"/>
      <w:ind w:firstLine="643" w:firstLineChars="200"/>
    </w:pPr>
    <w:rPr>
      <w:rFonts w:ascii="仿宋" w:hAnsi="仿宋" w:eastAsia="仿宋" w:cs="Times New Roman"/>
      <w:sz w:val="18"/>
      <w:szCs w:val="24"/>
    </w:rPr>
  </w:style>
  <w:style w:type="paragraph" w:styleId="18">
    <w:name w:val="Body Text Indent 3"/>
    <w:basedOn w:val="1"/>
    <w:link w:val="46"/>
    <w:semiHidden/>
    <w:unhideWhenUsed/>
    <w:qFormat/>
    <w:uiPriority w:val="0"/>
    <w:pPr>
      <w:spacing w:line="320" w:lineRule="exact"/>
      <w:ind w:firstLine="570"/>
    </w:pPr>
    <w:rPr>
      <w:rFonts w:ascii="仿宋_GB2312" w:hAnsi="Calibri" w:eastAsia="仿宋_GB2312" w:cs="Times New Roman"/>
      <w:kern w:val="0"/>
      <w:sz w:val="24"/>
      <w:szCs w:val="24"/>
    </w:rPr>
  </w:style>
  <w:style w:type="paragraph" w:styleId="19">
    <w:name w:val="Body Text 2"/>
    <w:basedOn w:val="1"/>
    <w:link w:val="43"/>
    <w:semiHidden/>
    <w:unhideWhenUsed/>
    <w:qFormat/>
    <w:uiPriority w:val="0"/>
    <w:pPr>
      <w:spacing w:line="400" w:lineRule="exact"/>
    </w:pPr>
    <w:rPr>
      <w:rFonts w:ascii="宋体" w:hAnsi="宋体" w:eastAsia="宋体" w:cs="Times New Roman"/>
      <w:kern w:val="0"/>
      <w:sz w:val="28"/>
      <w:szCs w:val="21"/>
    </w:rPr>
  </w:style>
  <w:style w:type="paragraph" w:styleId="20">
    <w:name w:val="HTML Preformatted"/>
    <w:basedOn w:val="1"/>
    <w:link w:val="149"/>
    <w:semiHidden/>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643" w:firstLineChars="200"/>
      <w:jc w:val="left"/>
    </w:pPr>
    <w:rPr>
      <w:rFonts w:ascii="黑体" w:hAnsi="Courier New" w:eastAsia="黑体" w:cs="Courier New"/>
      <w:kern w:val="0"/>
      <w:sz w:val="20"/>
      <w:szCs w:val="20"/>
    </w:rPr>
  </w:style>
  <w:style w:type="paragraph" w:styleId="21">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22">
    <w:name w:val="annotation subject"/>
    <w:basedOn w:val="7"/>
    <w:next w:val="7"/>
    <w:link w:val="49"/>
    <w:semiHidden/>
    <w:unhideWhenUsed/>
    <w:qFormat/>
    <w:uiPriority w:val="0"/>
    <w:pPr>
      <w:spacing w:line="240" w:lineRule="auto"/>
      <w:ind w:firstLine="0" w:firstLineChars="0"/>
    </w:pPr>
    <w:rPr>
      <w:b/>
      <w:bCs/>
      <w:kern w:val="0"/>
    </w:rPr>
  </w:style>
  <w:style w:type="table" w:styleId="24">
    <w:name w:val="Table Grid"/>
    <w:basedOn w:val="23"/>
    <w:qFormat/>
    <w:uiPriority w:val="0"/>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6">
    <w:name w:val="Strong"/>
    <w:basedOn w:val="25"/>
    <w:qFormat/>
    <w:uiPriority w:val="22"/>
    <w:rPr>
      <w:b/>
      <w:bCs/>
    </w:rPr>
  </w:style>
  <w:style w:type="character" w:styleId="27">
    <w:name w:val="FollowedHyperlink"/>
    <w:basedOn w:val="25"/>
    <w:semiHidden/>
    <w:unhideWhenUsed/>
    <w:qFormat/>
    <w:uiPriority w:val="99"/>
    <w:rPr>
      <w:color w:val="954F72" w:themeColor="followedHyperlink"/>
      <w:u w:val="single"/>
      <w14:textFill>
        <w14:solidFill>
          <w14:schemeClr w14:val="folHlink"/>
        </w14:solidFill>
      </w14:textFill>
    </w:rPr>
  </w:style>
  <w:style w:type="character" w:styleId="28">
    <w:name w:val="Emphasis"/>
    <w:basedOn w:val="25"/>
    <w:qFormat/>
    <w:uiPriority w:val="0"/>
  </w:style>
  <w:style w:type="character" w:styleId="29">
    <w:name w:val="Hyperlink"/>
    <w:basedOn w:val="25"/>
    <w:semiHidden/>
    <w:unhideWhenUsed/>
    <w:qFormat/>
    <w:uiPriority w:val="99"/>
    <w:rPr>
      <w:color w:val="0000FF"/>
      <w:u w:val="single"/>
    </w:rPr>
  </w:style>
  <w:style w:type="character" w:styleId="30">
    <w:name w:val="annotation reference"/>
    <w:basedOn w:val="25"/>
    <w:semiHidden/>
    <w:unhideWhenUsed/>
    <w:qFormat/>
    <w:uiPriority w:val="0"/>
    <w:rPr>
      <w:sz w:val="21"/>
      <w:szCs w:val="21"/>
    </w:rPr>
  </w:style>
  <w:style w:type="character" w:customStyle="1" w:styleId="31">
    <w:name w:val="标题 1 字符"/>
    <w:basedOn w:val="25"/>
    <w:qFormat/>
    <w:uiPriority w:val="9"/>
    <w:rPr>
      <w:b/>
      <w:bCs/>
      <w:kern w:val="44"/>
      <w:sz w:val="44"/>
      <w:szCs w:val="44"/>
    </w:rPr>
  </w:style>
  <w:style w:type="character" w:customStyle="1" w:styleId="32">
    <w:name w:val="标题 2 字符"/>
    <w:basedOn w:val="25"/>
    <w:semiHidden/>
    <w:qFormat/>
    <w:uiPriority w:val="9"/>
    <w:rPr>
      <w:rFonts w:asciiTheme="majorHAnsi" w:hAnsiTheme="majorHAnsi" w:eastAsiaTheme="majorEastAsia" w:cstheme="majorBidi"/>
      <w:b/>
      <w:bCs/>
      <w:sz w:val="32"/>
      <w:szCs w:val="32"/>
    </w:rPr>
  </w:style>
  <w:style w:type="character" w:customStyle="1" w:styleId="33">
    <w:name w:val="标题 3 字符"/>
    <w:basedOn w:val="25"/>
    <w:semiHidden/>
    <w:qFormat/>
    <w:uiPriority w:val="9"/>
    <w:rPr>
      <w:b/>
      <w:bCs/>
      <w:sz w:val="32"/>
      <w:szCs w:val="32"/>
    </w:rPr>
  </w:style>
  <w:style w:type="character" w:customStyle="1" w:styleId="34">
    <w:name w:val="标题 4 字符"/>
    <w:basedOn w:val="25"/>
    <w:semiHidden/>
    <w:qFormat/>
    <w:uiPriority w:val="9"/>
    <w:rPr>
      <w:rFonts w:asciiTheme="majorHAnsi" w:hAnsiTheme="majorHAnsi" w:eastAsiaTheme="majorEastAsia" w:cstheme="majorBidi"/>
      <w:b/>
      <w:bCs/>
      <w:sz w:val="28"/>
      <w:szCs w:val="28"/>
    </w:rPr>
  </w:style>
  <w:style w:type="character" w:customStyle="1" w:styleId="35">
    <w:name w:val="HTML 预设格式 字符"/>
    <w:basedOn w:val="25"/>
    <w:semiHidden/>
    <w:qFormat/>
    <w:uiPriority w:val="99"/>
    <w:rPr>
      <w:rFonts w:ascii="Courier New" w:hAnsi="Courier New" w:cs="Courier New"/>
      <w:sz w:val="20"/>
      <w:szCs w:val="20"/>
    </w:rPr>
  </w:style>
  <w:style w:type="paragraph" w:customStyle="1" w:styleId="36">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7">
    <w:name w:val="批注文字 字符"/>
    <w:basedOn w:val="25"/>
    <w:semiHidden/>
    <w:qFormat/>
    <w:uiPriority w:val="99"/>
  </w:style>
  <w:style w:type="character" w:customStyle="1" w:styleId="38">
    <w:name w:val="页眉 字符"/>
    <w:basedOn w:val="25"/>
    <w:semiHidden/>
    <w:uiPriority w:val="99"/>
    <w:rPr>
      <w:sz w:val="18"/>
      <w:szCs w:val="18"/>
    </w:rPr>
  </w:style>
  <w:style w:type="character" w:customStyle="1" w:styleId="39">
    <w:name w:val="页脚 字符"/>
    <w:basedOn w:val="25"/>
    <w:semiHidden/>
    <w:qFormat/>
    <w:uiPriority w:val="99"/>
    <w:rPr>
      <w:sz w:val="18"/>
      <w:szCs w:val="18"/>
    </w:rPr>
  </w:style>
  <w:style w:type="character" w:customStyle="1" w:styleId="40">
    <w:name w:val="正文文本 Char2"/>
    <w:basedOn w:val="25"/>
    <w:link w:val="9"/>
    <w:semiHidden/>
    <w:uiPriority w:val="0"/>
    <w:rPr>
      <w:rFonts w:ascii="Calibri" w:hAnsi="Calibri" w:eastAsia="宋体" w:cs="Times New Roman"/>
      <w:kern w:val="0"/>
      <w:sz w:val="20"/>
      <w:szCs w:val="24"/>
    </w:rPr>
  </w:style>
  <w:style w:type="character" w:customStyle="1" w:styleId="41">
    <w:name w:val="正文文本缩进 Char2"/>
    <w:basedOn w:val="25"/>
    <w:link w:val="10"/>
    <w:semiHidden/>
    <w:qFormat/>
    <w:uiPriority w:val="0"/>
    <w:rPr>
      <w:rFonts w:ascii="Arial" w:hAnsi="Arial" w:eastAsia="宋体" w:cs="Times New Roman"/>
      <w:color w:val="000000"/>
      <w:kern w:val="0"/>
      <w:sz w:val="20"/>
      <w:szCs w:val="20"/>
    </w:rPr>
  </w:style>
  <w:style w:type="character" w:customStyle="1" w:styleId="42">
    <w:name w:val="日期 Char3"/>
    <w:basedOn w:val="25"/>
    <w:link w:val="13"/>
    <w:semiHidden/>
    <w:qFormat/>
    <w:uiPriority w:val="0"/>
    <w:rPr>
      <w:rFonts w:ascii="Calibri" w:hAnsi="Calibri" w:eastAsia="宋体" w:cs="Times New Roman"/>
      <w:kern w:val="0"/>
      <w:sz w:val="20"/>
      <w:szCs w:val="24"/>
    </w:rPr>
  </w:style>
  <w:style w:type="character" w:customStyle="1" w:styleId="43">
    <w:name w:val="正文文本 2 Char2"/>
    <w:basedOn w:val="25"/>
    <w:link w:val="19"/>
    <w:semiHidden/>
    <w:qFormat/>
    <w:uiPriority w:val="0"/>
    <w:rPr>
      <w:rFonts w:ascii="宋体" w:hAnsi="宋体" w:eastAsia="宋体" w:cs="Times New Roman"/>
      <w:kern w:val="0"/>
      <w:sz w:val="28"/>
      <w:szCs w:val="21"/>
    </w:rPr>
  </w:style>
  <w:style w:type="character" w:customStyle="1" w:styleId="44">
    <w:name w:val="正文文本 3 Char2"/>
    <w:basedOn w:val="25"/>
    <w:link w:val="8"/>
    <w:semiHidden/>
    <w:qFormat/>
    <w:uiPriority w:val="0"/>
    <w:rPr>
      <w:rFonts w:ascii="Calibri" w:hAnsi="宋体" w:eastAsia="宋体" w:cs="Times New Roman"/>
      <w:color w:val="000000"/>
      <w:kern w:val="0"/>
      <w:sz w:val="24"/>
      <w:szCs w:val="18"/>
    </w:rPr>
  </w:style>
  <w:style w:type="character" w:customStyle="1" w:styleId="45">
    <w:name w:val="正文文本缩进 2 Char2"/>
    <w:basedOn w:val="25"/>
    <w:link w:val="14"/>
    <w:semiHidden/>
    <w:qFormat/>
    <w:uiPriority w:val="0"/>
    <w:rPr>
      <w:rFonts w:ascii="仿宋_GB2312" w:hAnsi="Calibri" w:eastAsia="仿宋_GB2312" w:cs="Times New Roman"/>
      <w:color w:val="000000"/>
      <w:kern w:val="0"/>
      <w:sz w:val="32"/>
      <w:szCs w:val="20"/>
    </w:rPr>
  </w:style>
  <w:style w:type="character" w:customStyle="1" w:styleId="46">
    <w:name w:val="正文文本缩进 3 Char2"/>
    <w:basedOn w:val="25"/>
    <w:link w:val="18"/>
    <w:semiHidden/>
    <w:qFormat/>
    <w:uiPriority w:val="0"/>
    <w:rPr>
      <w:rFonts w:ascii="仿宋_GB2312" w:hAnsi="Calibri" w:eastAsia="仿宋_GB2312" w:cs="Times New Roman"/>
      <w:kern w:val="0"/>
      <w:sz w:val="24"/>
      <w:szCs w:val="24"/>
    </w:rPr>
  </w:style>
  <w:style w:type="character" w:customStyle="1" w:styleId="47">
    <w:name w:val="文档结构图 Char2"/>
    <w:basedOn w:val="25"/>
    <w:link w:val="6"/>
    <w:semiHidden/>
    <w:qFormat/>
    <w:uiPriority w:val="0"/>
    <w:rPr>
      <w:rFonts w:ascii="Calibri" w:hAnsi="Calibri" w:eastAsia="宋体" w:cs="Times New Roman"/>
      <w:kern w:val="0"/>
      <w:sz w:val="20"/>
      <w:szCs w:val="24"/>
      <w:shd w:val="clear" w:color="auto" w:fill="000080"/>
    </w:rPr>
  </w:style>
  <w:style w:type="character" w:customStyle="1" w:styleId="48">
    <w:name w:val="纯文本 Char2"/>
    <w:basedOn w:val="25"/>
    <w:link w:val="12"/>
    <w:semiHidden/>
    <w:qFormat/>
    <w:uiPriority w:val="0"/>
    <w:rPr>
      <w:rFonts w:ascii="宋体" w:hAnsi="Courier New" w:eastAsia="宋体" w:cs="Times New Roman"/>
      <w:kern w:val="0"/>
      <w:sz w:val="20"/>
      <w:szCs w:val="20"/>
    </w:rPr>
  </w:style>
  <w:style w:type="character" w:customStyle="1" w:styleId="49">
    <w:name w:val="批注主题 Char3"/>
    <w:basedOn w:val="37"/>
    <w:link w:val="22"/>
    <w:semiHidden/>
    <w:qFormat/>
    <w:uiPriority w:val="0"/>
    <w:rPr>
      <w:rFonts w:ascii="仿宋" w:hAnsi="仿宋" w:eastAsia="仿宋" w:cs="Times New Roman"/>
      <w:b/>
      <w:bCs/>
      <w:kern w:val="0"/>
      <w:sz w:val="28"/>
      <w:szCs w:val="24"/>
    </w:rPr>
  </w:style>
  <w:style w:type="character" w:customStyle="1" w:styleId="50">
    <w:name w:val="批注框文本 字符"/>
    <w:basedOn w:val="25"/>
    <w:semiHidden/>
    <w:qFormat/>
    <w:uiPriority w:val="99"/>
    <w:rPr>
      <w:sz w:val="18"/>
      <w:szCs w:val="18"/>
    </w:rPr>
  </w:style>
  <w:style w:type="paragraph" w:styleId="51">
    <w:name w:val="List Paragraph"/>
    <w:basedOn w:val="1"/>
    <w:qFormat/>
    <w:uiPriority w:val="34"/>
    <w:pPr>
      <w:spacing w:line="312" w:lineRule="auto"/>
      <w:ind w:firstLine="420" w:firstLineChars="200"/>
    </w:pPr>
    <w:rPr>
      <w:rFonts w:ascii="仿宋" w:hAnsi="仿宋" w:eastAsia="仿宋" w:cs="Times New Roman"/>
      <w:sz w:val="28"/>
      <w:szCs w:val="24"/>
    </w:rPr>
  </w:style>
  <w:style w:type="paragraph" w:customStyle="1" w:styleId="52">
    <w:name w:val="TOC Heading"/>
    <w:basedOn w:val="2"/>
    <w:next w:val="1"/>
    <w:semiHidden/>
    <w:unhideWhenUsed/>
    <w:qFormat/>
    <w:uiPriority w:val="39"/>
    <w:pPr>
      <w:widowControl/>
      <w:numPr>
        <w:numId w:val="0"/>
      </w:numPr>
      <w:tabs>
        <w:tab w:val="clear" w:pos="0"/>
      </w:tabs>
      <w:spacing w:before="480" w:beforeLines="0" w:line="276" w:lineRule="auto"/>
      <w:jc w:val="left"/>
      <w:outlineLvl w:val="9"/>
    </w:pPr>
    <w:rPr>
      <w:rFonts w:ascii="Cambria" w:hAnsi="Cambria" w:eastAsia="宋体"/>
      <w:bCs/>
      <w:color w:val="365F91"/>
      <w:kern w:val="0"/>
      <w:sz w:val="28"/>
      <w:szCs w:val="28"/>
    </w:rPr>
  </w:style>
  <w:style w:type="paragraph" w:customStyle="1" w:styleId="53">
    <w:name w:val="正文标题"/>
    <w:next w:val="1"/>
    <w:qFormat/>
    <w:uiPriority w:val="0"/>
    <w:pPr>
      <w:spacing w:beforeLines="100"/>
      <w:jc w:val="center"/>
    </w:pPr>
    <w:rPr>
      <w:rFonts w:ascii="Times New Roman" w:hAnsi="Times New Roman" w:eastAsia="黑体" w:cs="Times New Roman"/>
      <w:kern w:val="0"/>
      <w:sz w:val="44"/>
      <w:szCs w:val="20"/>
      <w:lang w:val="en-US" w:eastAsia="zh-CN" w:bidi="ar-SA"/>
    </w:rPr>
  </w:style>
  <w:style w:type="paragraph" w:customStyle="1" w:styleId="54">
    <w:name w:val="表格字体"/>
    <w:qFormat/>
    <w:uiPriority w:val="0"/>
    <w:pPr>
      <w:spacing w:line="312" w:lineRule="auto"/>
      <w:jc w:val="both"/>
    </w:pPr>
    <w:rPr>
      <w:rFonts w:ascii="仿宋" w:hAnsi="仿宋" w:eastAsia="仿宋" w:cs="Times New Roman"/>
      <w:kern w:val="0"/>
      <w:sz w:val="24"/>
      <w:szCs w:val="20"/>
      <w:lang w:val="en-US" w:eastAsia="zh-CN" w:bidi="ar-SA"/>
    </w:rPr>
  </w:style>
  <w:style w:type="paragraph" w:customStyle="1" w:styleId="55">
    <w:name w:val="目录抬头"/>
    <w:next w:val="1"/>
    <w:qFormat/>
    <w:uiPriority w:val="0"/>
    <w:pPr>
      <w:spacing w:beforeLines="100" w:line="312" w:lineRule="auto"/>
      <w:jc w:val="center"/>
    </w:pPr>
    <w:rPr>
      <w:rFonts w:ascii="Times New Roman" w:hAnsi="Times New Roman" w:eastAsia="黑体" w:cs="Times New Roman"/>
      <w:b/>
      <w:kern w:val="0"/>
      <w:sz w:val="32"/>
      <w:szCs w:val="20"/>
      <w:lang w:val="en-US" w:eastAsia="zh-CN" w:bidi="ar-SA"/>
    </w:rPr>
  </w:style>
  <w:style w:type="paragraph" w:customStyle="1" w:styleId="56">
    <w:name w:val="图片内容"/>
    <w:next w:val="1"/>
    <w:qFormat/>
    <w:uiPriority w:val="0"/>
    <w:pPr>
      <w:spacing w:line="312" w:lineRule="auto"/>
      <w:ind w:firstLine="200" w:firstLineChars="200"/>
      <w:jc w:val="center"/>
    </w:pPr>
    <w:rPr>
      <w:rFonts w:ascii="Times New Roman" w:hAnsi="Times New Roman" w:eastAsia="仿宋" w:cs="Times New Roman"/>
      <w:kern w:val="0"/>
      <w:sz w:val="24"/>
      <w:szCs w:val="20"/>
      <w:lang w:val="en-US" w:eastAsia="zh-CN" w:bidi="ar-SA"/>
    </w:rPr>
  </w:style>
  <w:style w:type="paragraph" w:customStyle="1" w:styleId="57">
    <w:name w:val="页眉字体"/>
    <w:qFormat/>
    <w:uiPriority w:val="0"/>
    <w:pPr>
      <w:jc w:val="both"/>
    </w:pPr>
    <w:rPr>
      <w:rFonts w:ascii="黑体" w:hAnsi="黑体" w:eastAsia="黑体" w:cs="Times New Roman"/>
      <w:kern w:val="0"/>
      <w:sz w:val="21"/>
      <w:szCs w:val="20"/>
      <w:lang w:val="en-US" w:eastAsia="zh-CN" w:bidi="ar-SA"/>
    </w:rPr>
  </w:style>
  <w:style w:type="character" w:customStyle="1" w:styleId="58">
    <w:name w:val="居左小标题 Char"/>
    <w:basedOn w:val="25"/>
    <w:link w:val="59"/>
    <w:locked/>
    <w:uiPriority w:val="0"/>
    <w:rPr>
      <w:rFonts w:ascii="宋体" w:hAnsi="宋体" w:eastAsia="宋体"/>
      <w:b/>
      <w:sz w:val="24"/>
      <w:szCs w:val="32"/>
    </w:rPr>
  </w:style>
  <w:style w:type="paragraph" w:customStyle="1" w:styleId="59">
    <w:name w:val="居左小标题"/>
    <w:basedOn w:val="1"/>
    <w:link w:val="58"/>
    <w:qFormat/>
    <w:uiPriority w:val="0"/>
    <w:pPr>
      <w:spacing w:beforeLines="50" w:afterLines="50" w:line="420" w:lineRule="exact"/>
      <w:ind w:firstLine="200" w:firstLineChars="200"/>
      <w:jc w:val="left"/>
    </w:pPr>
    <w:rPr>
      <w:rFonts w:ascii="宋体" w:hAnsi="宋体" w:eastAsia="宋体"/>
      <w:b/>
      <w:sz w:val="24"/>
      <w:szCs w:val="32"/>
    </w:rPr>
  </w:style>
  <w:style w:type="character" w:customStyle="1" w:styleId="60">
    <w:name w:val="居中正文 Char"/>
    <w:basedOn w:val="25"/>
    <w:link w:val="61"/>
    <w:qFormat/>
    <w:locked/>
    <w:uiPriority w:val="0"/>
    <w:rPr>
      <w:rFonts w:ascii="宋体" w:hAnsi="宋体" w:eastAsia="宋体"/>
      <w:szCs w:val="21"/>
    </w:rPr>
  </w:style>
  <w:style w:type="paragraph" w:customStyle="1" w:styleId="61">
    <w:name w:val="居中正文"/>
    <w:basedOn w:val="1"/>
    <w:link w:val="60"/>
    <w:qFormat/>
    <w:uiPriority w:val="0"/>
    <w:pPr>
      <w:spacing w:line="420" w:lineRule="exact"/>
      <w:jc w:val="center"/>
    </w:pPr>
    <w:rPr>
      <w:rFonts w:ascii="宋体" w:hAnsi="宋体" w:eastAsia="宋体"/>
      <w:szCs w:val="21"/>
    </w:rPr>
  </w:style>
  <w:style w:type="character" w:customStyle="1" w:styleId="62">
    <w:name w:val="样式 首行缩进:  2 字符 Char"/>
    <w:link w:val="63"/>
    <w:locked/>
    <w:uiPriority w:val="0"/>
    <w:rPr>
      <w:rFonts w:ascii="宋体" w:hAnsi="宋体" w:eastAsia="宋体" w:cs="宋体"/>
    </w:rPr>
  </w:style>
  <w:style w:type="paragraph" w:customStyle="1" w:styleId="63">
    <w:name w:val="样式 首行缩进:  2 字符"/>
    <w:basedOn w:val="1"/>
    <w:link w:val="62"/>
    <w:qFormat/>
    <w:uiPriority w:val="0"/>
    <w:pPr>
      <w:topLinePunct/>
      <w:adjustRightInd w:val="0"/>
      <w:ind w:firstLine="200" w:firstLineChars="200"/>
    </w:pPr>
    <w:rPr>
      <w:rFonts w:ascii="宋体" w:hAnsi="宋体" w:eastAsia="宋体" w:cs="宋体"/>
    </w:rPr>
  </w:style>
  <w:style w:type="character" w:customStyle="1" w:styleId="64">
    <w:name w:val="居中小标题 Char"/>
    <w:basedOn w:val="25"/>
    <w:link w:val="65"/>
    <w:locked/>
    <w:uiPriority w:val="0"/>
    <w:rPr>
      <w:rFonts w:ascii="宋体" w:hAnsi="宋体" w:eastAsia="宋体"/>
      <w:b/>
      <w:sz w:val="24"/>
      <w:szCs w:val="32"/>
    </w:rPr>
  </w:style>
  <w:style w:type="paragraph" w:customStyle="1" w:styleId="65">
    <w:name w:val="居中小标题"/>
    <w:basedOn w:val="1"/>
    <w:link w:val="64"/>
    <w:qFormat/>
    <w:uiPriority w:val="0"/>
    <w:pPr>
      <w:spacing w:beforeLines="50" w:afterLines="50" w:line="420" w:lineRule="exact"/>
      <w:jc w:val="center"/>
    </w:pPr>
    <w:rPr>
      <w:rFonts w:ascii="宋体" w:hAnsi="宋体" w:eastAsia="宋体"/>
      <w:b/>
      <w:sz w:val="24"/>
      <w:szCs w:val="32"/>
    </w:rPr>
  </w:style>
  <w:style w:type="character" w:customStyle="1" w:styleId="66">
    <w:name w:val="pj标题 Char"/>
    <w:basedOn w:val="25"/>
    <w:link w:val="67"/>
    <w:locked/>
    <w:uiPriority w:val="0"/>
    <w:rPr>
      <w:rFonts w:ascii="宋体" w:hAnsi="宋体" w:eastAsia="宋体"/>
      <w:b/>
      <w:sz w:val="36"/>
      <w:szCs w:val="32"/>
    </w:rPr>
  </w:style>
  <w:style w:type="paragraph" w:customStyle="1" w:styleId="67">
    <w:name w:val="pj标题"/>
    <w:basedOn w:val="1"/>
    <w:link w:val="66"/>
    <w:qFormat/>
    <w:uiPriority w:val="0"/>
    <w:pPr>
      <w:spacing w:beforeLines="50" w:afterLines="100"/>
      <w:jc w:val="center"/>
      <w:outlineLvl w:val="0"/>
    </w:pPr>
    <w:rPr>
      <w:rFonts w:ascii="宋体" w:hAnsi="宋体" w:eastAsia="宋体"/>
      <w:b/>
      <w:sz w:val="36"/>
      <w:szCs w:val="32"/>
    </w:rPr>
  </w:style>
  <w:style w:type="paragraph" w:customStyle="1" w:styleId="68">
    <w:name w:val="插图--图字和说明"/>
    <w:basedOn w:val="1"/>
    <w:next w:val="1"/>
    <w:qFormat/>
    <w:uiPriority w:val="0"/>
    <w:pPr>
      <w:adjustRightInd w:val="0"/>
      <w:spacing w:line="240" w:lineRule="atLeast"/>
    </w:pPr>
    <w:rPr>
      <w:rFonts w:ascii="Calibri" w:hAnsi="Calibri" w:eastAsia="宋体" w:cs="Times New Roman"/>
      <w:kern w:val="0"/>
      <w:sz w:val="18"/>
      <w:szCs w:val="20"/>
    </w:rPr>
  </w:style>
  <w:style w:type="paragraph" w:customStyle="1" w:styleId="69">
    <w:name w:val="样式1"/>
    <w:basedOn w:val="1"/>
    <w:qFormat/>
    <w:uiPriority w:val="0"/>
    <w:rPr>
      <w:rFonts w:ascii="Calibri" w:hAnsi="Calibri" w:eastAsia="方正大黑简体" w:cs="Times New Roman"/>
      <w:sz w:val="24"/>
      <w:szCs w:val="20"/>
    </w:rPr>
  </w:style>
  <w:style w:type="paragraph" w:customStyle="1" w:styleId="70">
    <w:name w:val="Char Char Char Char"/>
    <w:basedOn w:val="1"/>
    <w:qFormat/>
    <w:uiPriority w:val="0"/>
    <w:pPr>
      <w:widowControl/>
      <w:spacing w:after="160" w:line="240" w:lineRule="exact"/>
      <w:jc w:val="left"/>
    </w:pPr>
    <w:rPr>
      <w:rFonts w:ascii="Calibri" w:hAnsi="Calibri" w:eastAsia="宋体" w:cs="Times New Roman"/>
      <w:szCs w:val="24"/>
    </w:rPr>
  </w:style>
  <w:style w:type="paragraph" w:customStyle="1" w:styleId="71">
    <w:name w:val="body"/>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72">
    <w:name w:val="note"/>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73">
    <w:name w:val="批注框文本 Char Char"/>
    <w:basedOn w:val="1"/>
    <w:qFormat/>
    <w:uiPriority w:val="0"/>
    <w:rPr>
      <w:rFonts w:ascii="Calibri" w:hAnsi="Calibri" w:eastAsia="宋体" w:cs="Times New Roman"/>
      <w:sz w:val="18"/>
      <w:szCs w:val="20"/>
    </w:rPr>
  </w:style>
  <w:style w:type="paragraph" w:customStyle="1" w:styleId="74">
    <w:name w:val="p0"/>
    <w:basedOn w:val="1"/>
    <w:qFormat/>
    <w:uiPriority w:val="99"/>
    <w:pPr>
      <w:widowControl/>
    </w:pPr>
    <w:rPr>
      <w:rFonts w:ascii="Times New Roman" w:hAnsi="Times New Roman" w:eastAsia="宋体" w:cs="Times New Roman"/>
      <w:kern w:val="0"/>
      <w:szCs w:val="21"/>
    </w:rPr>
  </w:style>
  <w:style w:type="paragraph" w:customStyle="1" w:styleId="75">
    <w:name w:val="WPSOffice手动目录 1"/>
    <w:qFormat/>
    <w:uiPriority w:val="0"/>
    <w:rPr>
      <w:rFonts w:ascii="Calibri" w:hAnsi="Calibri" w:eastAsia="宋体" w:cs="Times New Roman"/>
      <w:kern w:val="0"/>
      <w:sz w:val="20"/>
      <w:szCs w:val="20"/>
      <w:lang w:val="en-US" w:eastAsia="zh-CN" w:bidi="ar-SA"/>
    </w:rPr>
  </w:style>
  <w:style w:type="paragraph" w:customStyle="1" w:styleId="76">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77">
    <w:name w:val="p1"/>
    <w:basedOn w:val="1"/>
    <w:qFormat/>
    <w:uiPriority w:val="0"/>
    <w:pPr>
      <w:jc w:val="left"/>
    </w:pPr>
    <w:rPr>
      <w:rFonts w:ascii="Calibri" w:hAnsi="Calibri" w:eastAsia="宋体" w:cs="Times New Roman"/>
      <w:kern w:val="0"/>
      <w:szCs w:val="24"/>
    </w:rPr>
  </w:style>
  <w:style w:type="paragraph" w:customStyle="1" w:styleId="78">
    <w:name w:val="正文1"/>
    <w:qFormat/>
    <w:uiPriority w:val="0"/>
    <w:pPr>
      <w:widowControl w:val="0"/>
      <w:jc w:val="both"/>
    </w:pPr>
    <w:rPr>
      <w:rFonts w:ascii="Calibri" w:hAnsi="Calibri" w:eastAsia="宋体" w:cs="Times New Roman"/>
      <w:kern w:val="2"/>
      <w:sz w:val="21"/>
      <w:szCs w:val="21"/>
      <w:lang w:val="en-US" w:eastAsia="zh-CN" w:bidi="ar-SA"/>
    </w:rPr>
  </w:style>
  <w:style w:type="paragraph" w:customStyle="1" w:styleId="79">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80">
    <w:name w:val="font6"/>
    <w:basedOn w:val="1"/>
    <w:qFormat/>
    <w:uiPriority w:val="0"/>
    <w:pPr>
      <w:widowControl/>
      <w:spacing w:before="100" w:beforeAutospacing="1" w:after="100" w:afterAutospacing="1"/>
      <w:jc w:val="left"/>
    </w:pPr>
    <w:rPr>
      <w:rFonts w:ascii="Times New Roman" w:hAnsi="Times New Roman" w:eastAsia="宋体" w:cs="Times New Roman"/>
      <w:kern w:val="0"/>
      <w:sz w:val="18"/>
      <w:szCs w:val="18"/>
    </w:rPr>
  </w:style>
  <w:style w:type="paragraph" w:customStyle="1" w:styleId="81">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82">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8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8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8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86">
    <w:name w:val="xl6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8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6"/>
      <w:szCs w:val="16"/>
    </w:rPr>
  </w:style>
  <w:style w:type="paragraph" w:customStyle="1" w:styleId="8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89">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90">
    <w:name w:val="xl7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91">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92">
    <w:name w:val="xl74"/>
    <w:basedOn w:val="1"/>
    <w:qFormat/>
    <w:uiPriority w:val="0"/>
    <w:pPr>
      <w:widowControl/>
      <w:pBdr>
        <w:top w:val="single" w:color="auto" w:sz="4" w:space="0"/>
        <w:left w:val="single" w:color="auto" w:sz="4" w:space="0"/>
        <w:bottom w:val="single" w:color="auto" w:sz="4" w:space="0"/>
        <w:right w:val="single" w:color="auto" w:sz="4" w:space="0"/>
      </w:pBdr>
      <w:shd w:val="clear" w:color="auto" w:fill="F2F2F2"/>
      <w:spacing w:before="100" w:beforeAutospacing="1" w:after="100" w:afterAutospacing="1"/>
      <w:jc w:val="center"/>
    </w:pPr>
    <w:rPr>
      <w:rFonts w:ascii="Times New Roman" w:hAnsi="Times New Roman" w:eastAsia="宋体" w:cs="Times New Roman"/>
      <w:kern w:val="0"/>
      <w:sz w:val="18"/>
      <w:szCs w:val="18"/>
    </w:rPr>
  </w:style>
  <w:style w:type="paragraph" w:customStyle="1" w:styleId="93">
    <w:name w:val="xl75"/>
    <w:basedOn w:val="1"/>
    <w:qFormat/>
    <w:uiPriority w:val="0"/>
    <w:pPr>
      <w:widowControl/>
      <w:pBdr>
        <w:left w:val="single" w:color="auto" w:sz="4" w:space="0"/>
        <w:bottom w:val="single" w:color="auto" w:sz="4" w:space="0"/>
        <w:right w:val="single" w:color="auto" w:sz="4" w:space="0"/>
      </w:pBdr>
      <w:shd w:val="clear" w:color="auto" w:fill="F2F2F2"/>
      <w:spacing w:before="100" w:beforeAutospacing="1" w:after="100" w:afterAutospacing="1"/>
      <w:jc w:val="center"/>
    </w:pPr>
    <w:rPr>
      <w:rFonts w:ascii="Times New Roman" w:hAnsi="Times New Roman" w:eastAsia="宋体" w:cs="Times New Roman"/>
      <w:kern w:val="0"/>
      <w:sz w:val="18"/>
      <w:szCs w:val="18"/>
    </w:rPr>
  </w:style>
  <w:style w:type="paragraph" w:customStyle="1" w:styleId="94">
    <w:name w:val="xl76"/>
    <w:basedOn w:val="1"/>
    <w:qFormat/>
    <w:uiPriority w:val="0"/>
    <w:pPr>
      <w:widowControl/>
      <w:pBdr>
        <w:top w:val="single" w:color="auto" w:sz="4" w:space="0"/>
        <w:left w:val="single" w:color="auto" w:sz="4" w:space="0"/>
        <w:bottom w:val="single" w:color="auto" w:sz="4" w:space="0"/>
        <w:right w:val="single" w:color="auto" w:sz="4" w:space="0"/>
      </w:pBdr>
      <w:shd w:val="clear" w:color="auto" w:fill="E5E0EC"/>
      <w:spacing w:before="100" w:beforeAutospacing="1" w:after="100" w:afterAutospacing="1"/>
      <w:jc w:val="center"/>
    </w:pPr>
    <w:rPr>
      <w:rFonts w:ascii="Times New Roman" w:hAnsi="Times New Roman" w:eastAsia="宋体" w:cs="Times New Roman"/>
      <w:kern w:val="0"/>
      <w:sz w:val="18"/>
      <w:szCs w:val="18"/>
    </w:rPr>
  </w:style>
  <w:style w:type="paragraph" w:customStyle="1" w:styleId="95">
    <w:name w:val="xl77"/>
    <w:basedOn w:val="1"/>
    <w:qFormat/>
    <w:uiPriority w:val="0"/>
    <w:pPr>
      <w:widowControl/>
      <w:pBdr>
        <w:left w:val="single" w:color="auto" w:sz="4" w:space="0"/>
        <w:bottom w:val="single" w:color="auto" w:sz="4" w:space="0"/>
        <w:right w:val="single" w:color="auto" w:sz="4" w:space="0"/>
      </w:pBdr>
      <w:shd w:val="clear" w:color="auto" w:fill="E5E0EC"/>
      <w:spacing w:before="100" w:beforeAutospacing="1" w:after="100" w:afterAutospacing="1"/>
      <w:jc w:val="center"/>
    </w:pPr>
    <w:rPr>
      <w:rFonts w:ascii="Times New Roman" w:hAnsi="Times New Roman" w:eastAsia="宋体" w:cs="Times New Roman"/>
      <w:kern w:val="0"/>
      <w:sz w:val="18"/>
      <w:szCs w:val="18"/>
    </w:rPr>
  </w:style>
  <w:style w:type="paragraph" w:customStyle="1" w:styleId="96">
    <w:name w:val="xl78"/>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97">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98">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99">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100">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10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szCs w:val="24"/>
    </w:rPr>
  </w:style>
  <w:style w:type="paragraph" w:customStyle="1" w:styleId="102">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03">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104">
    <w:name w:val="xl8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105">
    <w:name w:val="xl87"/>
    <w:basedOn w:val="1"/>
    <w:qFormat/>
    <w:uiPriority w:val="0"/>
    <w:pPr>
      <w:widowControl/>
      <w:pBdr>
        <w:left w:val="single" w:color="auto" w:sz="4" w:space="0"/>
        <w:bottom w:val="single" w:color="auto" w:sz="4" w:space="0"/>
        <w:right w:val="single" w:color="auto" w:sz="4" w:space="0"/>
      </w:pBdr>
      <w:shd w:val="clear" w:color="auto" w:fill="F2F2F2"/>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106">
    <w:name w:val="xl88"/>
    <w:basedOn w:val="1"/>
    <w:qFormat/>
    <w:uiPriority w:val="0"/>
    <w:pPr>
      <w:widowControl/>
      <w:pBdr>
        <w:left w:val="single" w:color="auto" w:sz="4" w:space="0"/>
        <w:bottom w:val="single" w:color="auto" w:sz="4" w:space="0"/>
        <w:right w:val="single" w:color="auto" w:sz="4" w:space="0"/>
      </w:pBdr>
      <w:shd w:val="clear" w:color="auto" w:fill="E5E0EC"/>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107">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108">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6"/>
      <w:szCs w:val="16"/>
    </w:rPr>
  </w:style>
  <w:style w:type="paragraph" w:customStyle="1" w:styleId="109">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eastAsia="宋体" w:cs="Times New Roman"/>
      <w:kern w:val="0"/>
      <w:sz w:val="18"/>
      <w:szCs w:val="18"/>
    </w:rPr>
  </w:style>
  <w:style w:type="paragraph" w:customStyle="1" w:styleId="110">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eastAsia="宋体" w:cs="Times New Roman"/>
      <w:kern w:val="0"/>
      <w:sz w:val="18"/>
      <w:szCs w:val="18"/>
    </w:rPr>
  </w:style>
  <w:style w:type="paragraph" w:customStyle="1" w:styleId="111">
    <w:name w:val="xl93"/>
    <w:basedOn w:val="1"/>
    <w:qFormat/>
    <w:uiPriority w:val="0"/>
    <w:pPr>
      <w:widowControl/>
      <w:pBdr>
        <w:top w:val="single" w:color="auto" w:sz="4" w:space="0"/>
        <w:lef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12">
    <w:name w:val="xl94"/>
    <w:basedOn w:val="1"/>
    <w:qFormat/>
    <w:uiPriority w:val="0"/>
    <w:pPr>
      <w:widowControl/>
      <w:pBdr>
        <w:lef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13">
    <w:name w:val="xl95"/>
    <w:basedOn w:val="1"/>
    <w:qFormat/>
    <w:uiPriority w:val="0"/>
    <w:pPr>
      <w:widowControl/>
      <w:pBdr>
        <w:left w:val="single" w:color="auto" w:sz="4" w:space="0"/>
        <w:bottom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14">
    <w:name w:val="xl96"/>
    <w:basedOn w:val="1"/>
    <w:qFormat/>
    <w:uiPriority w:val="0"/>
    <w:pPr>
      <w:widowControl/>
      <w:pBdr>
        <w:left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15">
    <w:name w:val="xl97"/>
    <w:basedOn w:val="1"/>
    <w:qFormat/>
    <w:uiPriority w:val="0"/>
    <w:pPr>
      <w:widowControl/>
      <w:pBdr>
        <w:top w:val="single" w:color="auto" w:sz="4" w:space="0"/>
        <w:left w:val="single" w:color="auto" w:sz="4" w:space="0"/>
        <w:bottom w:val="single" w:color="auto" w:sz="4" w:space="0"/>
      </w:pBdr>
      <w:shd w:val="clear" w:color="auto" w:fill="E5E0EC"/>
      <w:spacing w:before="100" w:beforeAutospacing="1" w:after="100" w:afterAutospacing="1"/>
      <w:jc w:val="center"/>
    </w:pPr>
    <w:rPr>
      <w:rFonts w:ascii="Times New Roman" w:hAnsi="Times New Roman" w:eastAsia="宋体" w:cs="Times New Roman"/>
      <w:kern w:val="0"/>
      <w:sz w:val="18"/>
      <w:szCs w:val="18"/>
    </w:rPr>
  </w:style>
  <w:style w:type="paragraph" w:customStyle="1" w:styleId="116">
    <w:name w:val="xl98"/>
    <w:basedOn w:val="1"/>
    <w:qFormat/>
    <w:uiPriority w:val="0"/>
    <w:pPr>
      <w:widowControl/>
      <w:pBdr>
        <w:top w:val="single" w:color="auto" w:sz="4" w:space="0"/>
        <w:bottom w:val="single" w:color="auto" w:sz="4" w:space="0"/>
      </w:pBdr>
      <w:shd w:val="clear" w:color="auto" w:fill="E5E0EC"/>
      <w:spacing w:before="100" w:beforeAutospacing="1" w:after="100" w:afterAutospacing="1"/>
      <w:jc w:val="center"/>
    </w:pPr>
    <w:rPr>
      <w:rFonts w:ascii="Times New Roman" w:hAnsi="Times New Roman" w:eastAsia="宋体" w:cs="Times New Roman"/>
      <w:kern w:val="0"/>
      <w:sz w:val="18"/>
      <w:szCs w:val="18"/>
    </w:rPr>
  </w:style>
  <w:style w:type="paragraph" w:customStyle="1" w:styleId="117">
    <w:name w:val="xl99"/>
    <w:basedOn w:val="1"/>
    <w:qFormat/>
    <w:uiPriority w:val="0"/>
    <w:pPr>
      <w:widowControl/>
      <w:pBdr>
        <w:top w:val="single" w:color="auto" w:sz="4" w:space="0"/>
        <w:bottom w:val="single" w:color="auto" w:sz="4" w:space="0"/>
        <w:right w:val="single" w:color="auto" w:sz="4" w:space="0"/>
      </w:pBdr>
      <w:shd w:val="clear" w:color="auto" w:fill="E5E0EC"/>
      <w:spacing w:before="100" w:beforeAutospacing="1" w:after="100" w:afterAutospacing="1"/>
      <w:jc w:val="center"/>
    </w:pPr>
    <w:rPr>
      <w:rFonts w:ascii="Times New Roman" w:hAnsi="Times New Roman" w:eastAsia="宋体" w:cs="Times New Roman"/>
      <w:kern w:val="0"/>
      <w:sz w:val="18"/>
      <w:szCs w:val="18"/>
    </w:rPr>
  </w:style>
  <w:style w:type="paragraph" w:customStyle="1" w:styleId="118">
    <w:name w:val="xl100"/>
    <w:basedOn w:val="1"/>
    <w:qFormat/>
    <w:uiPriority w:val="0"/>
    <w:pPr>
      <w:widowControl/>
      <w:pBdr>
        <w:top w:val="single" w:color="auto" w:sz="4" w:space="0"/>
        <w:left w:val="single" w:color="auto" w:sz="4" w:space="0"/>
        <w:bottom w:val="single" w:color="auto" w:sz="4" w:space="0"/>
      </w:pBdr>
      <w:shd w:val="clear" w:color="auto" w:fill="F2F2F2"/>
      <w:spacing w:before="100" w:beforeAutospacing="1" w:after="100" w:afterAutospacing="1"/>
      <w:jc w:val="center"/>
    </w:pPr>
    <w:rPr>
      <w:rFonts w:ascii="Times New Roman" w:hAnsi="Times New Roman" w:eastAsia="宋体" w:cs="Times New Roman"/>
      <w:kern w:val="0"/>
      <w:sz w:val="18"/>
      <w:szCs w:val="18"/>
    </w:rPr>
  </w:style>
  <w:style w:type="paragraph" w:customStyle="1" w:styleId="119">
    <w:name w:val="xl101"/>
    <w:basedOn w:val="1"/>
    <w:qFormat/>
    <w:uiPriority w:val="0"/>
    <w:pPr>
      <w:widowControl/>
      <w:pBdr>
        <w:top w:val="single" w:color="auto" w:sz="4" w:space="0"/>
        <w:bottom w:val="single" w:color="auto" w:sz="4" w:space="0"/>
      </w:pBdr>
      <w:shd w:val="clear" w:color="auto" w:fill="F2F2F2"/>
      <w:spacing w:before="100" w:beforeAutospacing="1" w:after="100" w:afterAutospacing="1"/>
      <w:jc w:val="center"/>
    </w:pPr>
    <w:rPr>
      <w:rFonts w:ascii="Times New Roman" w:hAnsi="Times New Roman" w:eastAsia="宋体" w:cs="Times New Roman"/>
      <w:kern w:val="0"/>
      <w:sz w:val="18"/>
      <w:szCs w:val="18"/>
    </w:rPr>
  </w:style>
  <w:style w:type="paragraph" w:customStyle="1" w:styleId="120">
    <w:name w:val="xl102"/>
    <w:basedOn w:val="1"/>
    <w:qFormat/>
    <w:uiPriority w:val="0"/>
    <w:pPr>
      <w:widowControl/>
      <w:pBdr>
        <w:top w:val="single" w:color="auto" w:sz="4" w:space="0"/>
        <w:bottom w:val="single" w:color="auto" w:sz="4" w:space="0"/>
        <w:right w:val="single" w:color="auto" w:sz="4" w:space="0"/>
      </w:pBdr>
      <w:shd w:val="clear" w:color="auto" w:fill="F2F2F2"/>
      <w:spacing w:before="100" w:beforeAutospacing="1" w:after="100" w:afterAutospacing="1"/>
      <w:jc w:val="center"/>
    </w:pPr>
    <w:rPr>
      <w:rFonts w:ascii="Times New Roman" w:hAnsi="Times New Roman" w:eastAsia="宋体" w:cs="Times New Roman"/>
      <w:kern w:val="0"/>
      <w:sz w:val="18"/>
      <w:szCs w:val="18"/>
    </w:rPr>
  </w:style>
  <w:style w:type="paragraph" w:customStyle="1" w:styleId="121">
    <w:name w:val="xl103"/>
    <w:basedOn w:val="1"/>
    <w:qFormat/>
    <w:uiPriority w:val="0"/>
    <w:pPr>
      <w:widowControl/>
      <w:spacing w:before="100" w:beforeAutospacing="1" w:after="100" w:afterAutospacing="1"/>
      <w:jc w:val="center"/>
    </w:pPr>
    <w:rPr>
      <w:rFonts w:ascii="Times New Roman" w:hAnsi="Times New Roman" w:eastAsia="宋体" w:cs="Times New Roman"/>
      <w:kern w:val="0"/>
      <w:sz w:val="18"/>
      <w:szCs w:val="18"/>
    </w:rPr>
  </w:style>
  <w:style w:type="paragraph" w:customStyle="1" w:styleId="122">
    <w:name w:val="xl104"/>
    <w:basedOn w:val="1"/>
    <w:qFormat/>
    <w:uiPriority w:val="0"/>
    <w:pPr>
      <w:widowControl/>
      <w:pBdr>
        <w:bottom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23">
    <w:name w:val="xl105"/>
    <w:basedOn w:val="1"/>
    <w:qFormat/>
    <w:uiPriority w:val="0"/>
    <w:pPr>
      <w:widowControl/>
      <w:pBdr>
        <w:top w:val="single" w:color="auto" w:sz="4" w:space="0"/>
        <w:bottom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24">
    <w:name w:val="xl10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25">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26">
    <w:name w:val="xl108"/>
    <w:basedOn w:val="1"/>
    <w:qFormat/>
    <w:uiPriority w:val="0"/>
    <w:pPr>
      <w:widowControl/>
      <w:pBdr>
        <w:top w:val="single" w:color="auto" w:sz="4" w:space="0"/>
        <w:lef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27">
    <w:name w:val="xl109"/>
    <w:basedOn w:val="1"/>
    <w:qFormat/>
    <w:uiPriority w:val="0"/>
    <w:pPr>
      <w:widowControl/>
      <w:pBdr>
        <w:top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28">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29">
    <w:name w:val="xl111"/>
    <w:basedOn w:val="1"/>
    <w:qFormat/>
    <w:uiPriority w:val="0"/>
    <w:pPr>
      <w:widowControl/>
      <w:pBdr>
        <w:top w:val="single" w:color="auto" w:sz="4" w:space="0"/>
        <w:bottom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30">
    <w:name w:val="xl11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31">
    <w:name w:val="xl11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32">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DE9D9"/>
      <w:spacing w:before="100" w:beforeAutospacing="1" w:after="100" w:afterAutospacing="1"/>
      <w:jc w:val="center"/>
    </w:pPr>
    <w:rPr>
      <w:rFonts w:ascii="Times New Roman" w:hAnsi="Times New Roman" w:eastAsia="宋体" w:cs="Times New Roman"/>
      <w:kern w:val="0"/>
      <w:sz w:val="18"/>
      <w:szCs w:val="18"/>
    </w:rPr>
  </w:style>
  <w:style w:type="paragraph" w:customStyle="1" w:styleId="133">
    <w:name w:val="xl115"/>
    <w:basedOn w:val="1"/>
    <w:qFormat/>
    <w:uiPriority w:val="0"/>
    <w:pPr>
      <w:widowControl/>
      <w:pBdr>
        <w:top w:val="single" w:color="auto" w:sz="4" w:space="0"/>
        <w:left w:val="single" w:color="auto" w:sz="4" w:space="0"/>
        <w:bottom w:val="single" w:color="auto" w:sz="4" w:space="0"/>
        <w:right w:val="single" w:color="auto" w:sz="4" w:space="0"/>
      </w:pBdr>
      <w:shd w:val="clear" w:color="auto" w:fill="FDE9D9"/>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134">
    <w:name w:val="xl116"/>
    <w:basedOn w:val="1"/>
    <w:qFormat/>
    <w:uiPriority w:val="0"/>
    <w:pPr>
      <w:widowControl/>
      <w:pBdr>
        <w:top w:val="single" w:color="auto" w:sz="4" w:space="0"/>
        <w:bottom w:val="single" w:color="auto" w:sz="4" w:space="0"/>
      </w:pBdr>
      <w:shd w:val="clear" w:color="auto" w:fill="DBEEF3"/>
      <w:spacing w:before="100" w:beforeAutospacing="1" w:after="100" w:afterAutospacing="1"/>
      <w:jc w:val="center"/>
    </w:pPr>
    <w:rPr>
      <w:rFonts w:ascii="Times New Roman" w:hAnsi="Times New Roman" w:eastAsia="宋体" w:cs="Times New Roman"/>
      <w:kern w:val="0"/>
      <w:sz w:val="18"/>
      <w:szCs w:val="18"/>
    </w:rPr>
  </w:style>
  <w:style w:type="paragraph" w:customStyle="1" w:styleId="135">
    <w:name w:val="xl117"/>
    <w:basedOn w:val="1"/>
    <w:qFormat/>
    <w:uiPriority w:val="0"/>
    <w:pPr>
      <w:widowControl/>
      <w:pBdr>
        <w:top w:val="single" w:color="auto" w:sz="4" w:space="0"/>
        <w:bottom w:val="single" w:color="auto" w:sz="4" w:space="0"/>
        <w:right w:val="single" w:color="auto" w:sz="4" w:space="0"/>
      </w:pBdr>
      <w:shd w:val="clear" w:color="auto" w:fill="DBEEF3"/>
      <w:spacing w:before="100" w:beforeAutospacing="1" w:after="100" w:afterAutospacing="1"/>
      <w:jc w:val="center"/>
    </w:pPr>
    <w:rPr>
      <w:rFonts w:ascii="Times New Roman" w:hAnsi="Times New Roman" w:eastAsia="宋体" w:cs="Times New Roman"/>
      <w:kern w:val="0"/>
      <w:sz w:val="18"/>
      <w:szCs w:val="18"/>
    </w:rPr>
  </w:style>
  <w:style w:type="paragraph" w:customStyle="1" w:styleId="136">
    <w:name w:val="xl118"/>
    <w:basedOn w:val="1"/>
    <w:qFormat/>
    <w:uiPriority w:val="0"/>
    <w:pPr>
      <w:widowControl/>
      <w:pBdr>
        <w:top w:val="single" w:color="auto" w:sz="4" w:space="0"/>
        <w:left w:val="single" w:color="auto" w:sz="4" w:space="0"/>
        <w:bottom w:val="single" w:color="auto" w:sz="4" w:space="0"/>
        <w:right w:val="single" w:color="auto" w:sz="4" w:space="0"/>
      </w:pBdr>
      <w:shd w:val="clear" w:color="auto" w:fill="DBEEF3"/>
      <w:spacing w:before="100" w:beforeAutospacing="1" w:after="100" w:afterAutospacing="1"/>
      <w:jc w:val="center"/>
    </w:pPr>
    <w:rPr>
      <w:rFonts w:ascii="Times New Roman" w:hAnsi="Times New Roman" w:eastAsia="宋体" w:cs="Times New Roman"/>
      <w:kern w:val="0"/>
      <w:sz w:val="18"/>
      <w:szCs w:val="18"/>
    </w:rPr>
  </w:style>
  <w:style w:type="paragraph" w:customStyle="1" w:styleId="137">
    <w:name w:val="xl119"/>
    <w:basedOn w:val="1"/>
    <w:qFormat/>
    <w:uiPriority w:val="0"/>
    <w:pPr>
      <w:widowControl/>
      <w:pBdr>
        <w:top w:val="single" w:color="auto" w:sz="4" w:space="0"/>
        <w:left w:val="single" w:color="auto" w:sz="4" w:space="0"/>
        <w:bottom w:val="single" w:color="auto" w:sz="4" w:space="0"/>
        <w:right w:val="single" w:color="auto" w:sz="4" w:space="0"/>
      </w:pBdr>
      <w:shd w:val="clear" w:color="auto" w:fill="DBEEF3"/>
      <w:spacing w:before="100" w:beforeAutospacing="1" w:after="100" w:afterAutospacing="1"/>
      <w:jc w:val="center"/>
    </w:pPr>
    <w:rPr>
      <w:rFonts w:ascii="Times New Roman" w:hAnsi="Times New Roman" w:eastAsia="宋体" w:cs="Times New Roman"/>
      <w:kern w:val="0"/>
      <w:sz w:val="18"/>
      <w:szCs w:val="18"/>
    </w:rPr>
  </w:style>
  <w:style w:type="paragraph" w:customStyle="1" w:styleId="138">
    <w:name w:val="xl120"/>
    <w:basedOn w:val="1"/>
    <w:qFormat/>
    <w:uiPriority w:val="0"/>
    <w:pPr>
      <w:widowControl/>
      <w:spacing w:before="100" w:beforeAutospacing="1" w:after="100" w:afterAutospacing="1"/>
      <w:jc w:val="left"/>
    </w:pPr>
    <w:rPr>
      <w:rFonts w:ascii="Times New Roman" w:hAnsi="Times New Roman" w:eastAsia="宋体" w:cs="Times New Roman"/>
      <w:kern w:val="0"/>
      <w:sz w:val="18"/>
      <w:szCs w:val="18"/>
    </w:rPr>
  </w:style>
  <w:style w:type="paragraph" w:customStyle="1" w:styleId="139">
    <w:name w:val="xl121"/>
    <w:basedOn w:val="1"/>
    <w:qFormat/>
    <w:uiPriority w:val="0"/>
    <w:pPr>
      <w:widowControl/>
      <w:pBdr>
        <w:top w:val="single" w:color="auto" w:sz="4" w:space="0"/>
        <w:left w:val="single" w:color="auto" w:sz="4" w:space="0"/>
        <w:bottom w:val="single" w:color="auto" w:sz="4" w:space="0"/>
      </w:pBdr>
      <w:shd w:val="clear" w:color="auto" w:fill="DBEEF3"/>
      <w:spacing w:before="100" w:beforeAutospacing="1" w:after="100" w:afterAutospacing="1"/>
      <w:jc w:val="center"/>
    </w:pPr>
    <w:rPr>
      <w:rFonts w:ascii="Times New Roman" w:hAnsi="Times New Roman" w:eastAsia="宋体" w:cs="Times New Roman"/>
      <w:kern w:val="0"/>
      <w:sz w:val="18"/>
      <w:szCs w:val="18"/>
    </w:rPr>
  </w:style>
  <w:style w:type="character" w:customStyle="1" w:styleId="140">
    <w:name w:val="标题 3 Char"/>
    <w:basedOn w:val="25"/>
    <w:link w:val="4"/>
    <w:semiHidden/>
    <w:qFormat/>
    <w:locked/>
    <w:uiPriority w:val="9"/>
    <w:rPr>
      <w:rFonts w:ascii="仿宋" w:hAnsi="仿宋" w:eastAsia="仿宋" w:cs="Times New Roman"/>
      <w:b/>
      <w:sz w:val="28"/>
      <w:szCs w:val="24"/>
    </w:rPr>
  </w:style>
  <w:style w:type="character" w:customStyle="1" w:styleId="141">
    <w:name w:val="标题 2 Char"/>
    <w:basedOn w:val="25"/>
    <w:link w:val="3"/>
    <w:semiHidden/>
    <w:qFormat/>
    <w:locked/>
    <w:uiPriority w:val="9"/>
    <w:rPr>
      <w:rFonts w:ascii="仿宋" w:hAnsi="仿宋" w:eastAsia="仿宋" w:cs="Times New Roman"/>
      <w:b/>
      <w:sz w:val="32"/>
      <w:szCs w:val="24"/>
    </w:rPr>
  </w:style>
  <w:style w:type="character" w:customStyle="1" w:styleId="142">
    <w:name w:val="标题 1 Char"/>
    <w:basedOn w:val="25"/>
    <w:link w:val="2"/>
    <w:qFormat/>
    <w:locked/>
    <w:uiPriority w:val="9"/>
    <w:rPr>
      <w:rFonts w:ascii="黑体" w:hAnsi="黑体" w:eastAsia="黑体" w:cs="Times New Roman"/>
      <w:b/>
      <w:kern w:val="44"/>
      <w:sz w:val="32"/>
      <w:szCs w:val="24"/>
    </w:rPr>
  </w:style>
  <w:style w:type="character" w:customStyle="1" w:styleId="143">
    <w:name w:val="标题 4 Char"/>
    <w:basedOn w:val="25"/>
    <w:link w:val="5"/>
    <w:semiHidden/>
    <w:qFormat/>
    <w:locked/>
    <w:uiPriority w:val="9"/>
    <w:rPr>
      <w:rFonts w:ascii="仿宋" w:hAnsi="仿宋" w:eastAsia="仿宋" w:cs="Times New Roman"/>
      <w:kern w:val="0"/>
      <w:sz w:val="28"/>
      <w:szCs w:val="20"/>
    </w:rPr>
  </w:style>
  <w:style w:type="character" w:customStyle="1" w:styleId="144">
    <w:name w:val="批注文字 Char2"/>
    <w:basedOn w:val="25"/>
    <w:link w:val="7"/>
    <w:semiHidden/>
    <w:qFormat/>
    <w:locked/>
    <w:uiPriority w:val="0"/>
    <w:rPr>
      <w:rFonts w:ascii="仿宋" w:hAnsi="仿宋" w:eastAsia="仿宋" w:cs="Times New Roman"/>
      <w:sz w:val="28"/>
      <w:szCs w:val="24"/>
    </w:rPr>
  </w:style>
  <w:style w:type="character" w:customStyle="1" w:styleId="145">
    <w:name w:val="批注文字 Char"/>
    <w:basedOn w:val="25"/>
    <w:qFormat/>
    <w:uiPriority w:val="0"/>
    <w:rPr>
      <w:rFonts w:hint="eastAsia" w:ascii="仿宋" w:hAnsi="仿宋" w:eastAsia="仿宋" w:cs="Times New Roman"/>
      <w:sz w:val="28"/>
      <w:szCs w:val="24"/>
    </w:rPr>
  </w:style>
  <w:style w:type="character" w:customStyle="1" w:styleId="146">
    <w:name w:val="批注框文本 Char"/>
    <w:basedOn w:val="25"/>
    <w:link w:val="15"/>
    <w:semiHidden/>
    <w:qFormat/>
    <w:locked/>
    <w:uiPriority w:val="0"/>
    <w:rPr>
      <w:rFonts w:ascii="仿宋" w:hAnsi="仿宋" w:eastAsia="仿宋" w:cs="Times New Roman"/>
      <w:sz w:val="18"/>
      <w:szCs w:val="18"/>
    </w:rPr>
  </w:style>
  <w:style w:type="character" w:customStyle="1" w:styleId="147">
    <w:name w:val="页脚 Char"/>
    <w:basedOn w:val="25"/>
    <w:link w:val="16"/>
    <w:qFormat/>
    <w:locked/>
    <w:uiPriority w:val="99"/>
    <w:rPr>
      <w:rFonts w:ascii="仿宋" w:hAnsi="仿宋" w:eastAsia="仿宋" w:cs="Times New Roman"/>
      <w:sz w:val="18"/>
      <w:szCs w:val="24"/>
    </w:rPr>
  </w:style>
  <w:style w:type="character" w:customStyle="1" w:styleId="148">
    <w:name w:val="页眉 Char"/>
    <w:basedOn w:val="25"/>
    <w:link w:val="17"/>
    <w:qFormat/>
    <w:locked/>
    <w:uiPriority w:val="0"/>
    <w:rPr>
      <w:rFonts w:ascii="仿宋" w:hAnsi="仿宋" w:eastAsia="仿宋" w:cs="Times New Roman"/>
      <w:sz w:val="18"/>
      <w:szCs w:val="24"/>
    </w:rPr>
  </w:style>
  <w:style w:type="character" w:customStyle="1" w:styleId="149">
    <w:name w:val="HTML 预设格式 Char"/>
    <w:basedOn w:val="25"/>
    <w:link w:val="20"/>
    <w:semiHidden/>
    <w:qFormat/>
    <w:locked/>
    <w:uiPriority w:val="0"/>
    <w:rPr>
      <w:rFonts w:ascii="黑体" w:hAnsi="Courier New" w:eastAsia="黑体" w:cs="Courier New"/>
      <w:kern w:val="0"/>
      <w:sz w:val="20"/>
      <w:szCs w:val="20"/>
    </w:rPr>
  </w:style>
  <w:style w:type="character" w:customStyle="1" w:styleId="150">
    <w:name w:val="正文文本 3 Char"/>
    <w:basedOn w:val="25"/>
    <w:qFormat/>
    <w:locked/>
    <w:uiPriority w:val="0"/>
    <w:rPr>
      <w:rFonts w:hint="eastAsia" w:ascii="宋体" w:hAnsi="宋体" w:eastAsia="宋体"/>
      <w:color w:val="000000"/>
      <w:sz w:val="24"/>
      <w:szCs w:val="18"/>
    </w:rPr>
  </w:style>
  <w:style w:type="character" w:customStyle="1" w:styleId="151">
    <w:name w:val="正文文本 3 Char1"/>
    <w:basedOn w:val="25"/>
    <w:qFormat/>
    <w:uiPriority w:val="0"/>
    <w:rPr>
      <w:rFonts w:hint="eastAsia" w:ascii="仿宋" w:hAnsi="仿宋" w:eastAsia="仿宋" w:cs="Times New Roman"/>
      <w:sz w:val="16"/>
      <w:szCs w:val="16"/>
    </w:rPr>
  </w:style>
  <w:style w:type="character" w:customStyle="1" w:styleId="152">
    <w:name w:val="正文文本缩进 2 Char"/>
    <w:basedOn w:val="25"/>
    <w:qFormat/>
    <w:locked/>
    <w:uiPriority w:val="0"/>
    <w:rPr>
      <w:rFonts w:hint="eastAsia" w:ascii="仿宋_GB2312" w:eastAsia="仿宋_GB2312"/>
      <w:color w:val="000000"/>
      <w:sz w:val="32"/>
    </w:rPr>
  </w:style>
  <w:style w:type="character" w:customStyle="1" w:styleId="153">
    <w:name w:val="正文文本缩进 2 Char1"/>
    <w:basedOn w:val="25"/>
    <w:qFormat/>
    <w:uiPriority w:val="0"/>
    <w:rPr>
      <w:rFonts w:hint="eastAsia" w:ascii="仿宋" w:hAnsi="仿宋" w:eastAsia="仿宋" w:cs="Times New Roman"/>
      <w:sz w:val="28"/>
      <w:szCs w:val="24"/>
    </w:rPr>
  </w:style>
  <w:style w:type="character" w:customStyle="1" w:styleId="154">
    <w:name w:val="正文文本 Char"/>
    <w:basedOn w:val="25"/>
    <w:qFormat/>
    <w:locked/>
    <w:uiPriority w:val="0"/>
    <w:rPr>
      <w:szCs w:val="24"/>
    </w:rPr>
  </w:style>
  <w:style w:type="character" w:customStyle="1" w:styleId="155">
    <w:name w:val="正文文本 Char1"/>
    <w:basedOn w:val="25"/>
    <w:qFormat/>
    <w:uiPriority w:val="0"/>
    <w:rPr>
      <w:rFonts w:hint="eastAsia" w:ascii="仿宋" w:hAnsi="仿宋" w:eastAsia="仿宋" w:cs="Times New Roman"/>
      <w:sz w:val="28"/>
      <w:szCs w:val="24"/>
    </w:rPr>
  </w:style>
  <w:style w:type="character" w:customStyle="1" w:styleId="156">
    <w:name w:val="日期 Char"/>
    <w:qFormat/>
    <w:locked/>
    <w:uiPriority w:val="0"/>
    <w:rPr>
      <w:szCs w:val="24"/>
    </w:rPr>
  </w:style>
  <w:style w:type="character" w:customStyle="1" w:styleId="157">
    <w:name w:val="日期 Char1"/>
    <w:basedOn w:val="25"/>
    <w:qFormat/>
    <w:uiPriority w:val="0"/>
    <w:rPr>
      <w:rFonts w:hint="eastAsia" w:ascii="仿宋" w:hAnsi="仿宋" w:eastAsia="仿宋" w:cs="Times New Roman"/>
      <w:sz w:val="28"/>
      <w:szCs w:val="24"/>
    </w:rPr>
  </w:style>
  <w:style w:type="character" w:customStyle="1" w:styleId="158">
    <w:name w:val="topiclinefirst"/>
    <w:basedOn w:val="25"/>
    <w:qFormat/>
    <w:uiPriority w:val="0"/>
  </w:style>
  <w:style w:type="character" w:customStyle="1" w:styleId="159">
    <w:name w:val="批注框文本 Char1"/>
    <w:basedOn w:val="25"/>
    <w:qFormat/>
    <w:uiPriority w:val="0"/>
    <w:rPr>
      <w:kern w:val="2"/>
      <w:sz w:val="18"/>
      <w:szCs w:val="18"/>
    </w:rPr>
  </w:style>
  <w:style w:type="character" w:customStyle="1" w:styleId="160">
    <w:name w:val="文档结构图 Char"/>
    <w:basedOn w:val="25"/>
    <w:qFormat/>
    <w:locked/>
    <w:uiPriority w:val="0"/>
    <w:rPr>
      <w:szCs w:val="24"/>
      <w:shd w:val="clear" w:color="auto" w:fill="000080"/>
    </w:rPr>
  </w:style>
  <w:style w:type="character" w:customStyle="1" w:styleId="161">
    <w:name w:val="文档结构图 Char1"/>
    <w:basedOn w:val="25"/>
    <w:qFormat/>
    <w:uiPriority w:val="0"/>
    <w:rPr>
      <w:rFonts w:hint="eastAsia" w:ascii="宋体" w:hAnsi="仿宋" w:eastAsia="宋体" w:cs="Times New Roman"/>
      <w:sz w:val="18"/>
      <w:szCs w:val="18"/>
    </w:rPr>
  </w:style>
  <w:style w:type="character" w:customStyle="1" w:styleId="162">
    <w:name w:val="批注文字 Char1"/>
    <w:basedOn w:val="25"/>
    <w:qFormat/>
    <w:uiPriority w:val="0"/>
    <w:rPr>
      <w:kern w:val="2"/>
      <w:sz w:val="21"/>
      <w:szCs w:val="24"/>
    </w:rPr>
  </w:style>
  <w:style w:type="character" w:customStyle="1" w:styleId="163">
    <w:name w:val="正文文本缩进 3 Char"/>
    <w:basedOn w:val="25"/>
    <w:qFormat/>
    <w:locked/>
    <w:uiPriority w:val="0"/>
    <w:rPr>
      <w:rFonts w:hint="eastAsia" w:ascii="仿宋_GB2312" w:eastAsia="仿宋_GB2312"/>
      <w:sz w:val="24"/>
      <w:szCs w:val="24"/>
    </w:rPr>
  </w:style>
  <w:style w:type="character" w:customStyle="1" w:styleId="164">
    <w:name w:val="正文文本缩进 3 Char1"/>
    <w:basedOn w:val="25"/>
    <w:qFormat/>
    <w:uiPriority w:val="0"/>
    <w:rPr>
      <w:rFonts w:hint="eastAsia" w:ascii="仿宋" w:hAnsi="仿宋" w:eastAsia="仿宋" w:cs="Times New Roman"/>
      <w:sz w:val="16"/>
      <w:szCs w:val="16"/>
    </w:rPr>
  </w:style>
  <w:style w:type="character" w:customStyle="1" w:styleId="165">
    <w:name w:val="样式 字符缩放: 33%"/>
    <w:basedOn w:val="25"/>
    <w:qFormat/>
    <w:uiPriority w:val="0"/>
    <w:rPr>
      <w:w w:val="33"/>
      <w:kern w:val="0"/>
    </w:rPr>
  </w:style>
  <w:style w:type="character" w:customStyle="1" w:styleId="166">
    <w:name w:val="纯文本 Char"/>
    <w:basedOn w:val="25"/>
    <w:qFormat/>
    <w:locked/>
    <w:uiPriority w:val="0"/>
    <w:rPr>
      <w:rFonts w:hint="eastAsia" w:ascii="宋体" w:hAnsi="Courier New" w:eastAsia="宋体"/>
    </w:rPr>
  </w:style>
  <w:style w:type="character" w:customStyle="1" w:styleId="167">
    <w:name w:val="纯文本 Char1"/>
    <w:basedOn w:val="25"/>
    <w:qFormat/>
    <w:uiPriority w:val="0"/>
    <w:rPr>
      <w:rFonts w:hint="eastAsia" w:ascii="宋体" w:hAnsi="Courier New" w:eastAsia="宋体" w:cs="Courier New"/>
      <w:szCs w:val="21"/>
    </w:rPr>
  </w:style>
  <w:style w:type="character" w:customStyle="1" w:styleId="168">
    <w:name w:val="正文文本缩进 Char"/>
    <w:basedOn w:val="25"/>
    <w:locked/>
    <w:uiPriority w:val="0"/>
    <w:rPr>
      <w:rFonts w:hint="default" w:ascii="Arial" w:hAnsi="Arial" w:cs="Arial"/>
      <w:color w:val="000000"/>
    </w:rPr>
  </w:style>
  <w:style w:type="character" w:customStyle="1" w:styleId="169">
    <w:name w:val="正文文本缩进 Char1"/>
    <w:basedOn w:val="25"/>
    <w:uiPriority w:val="0"/>
    <w:rPr>
      <w:rFonts w:hint="eastAsia" w:ascii="仿宋" w:hAnsi="仿宋" w:eastAsia="仿宋" w:cs="Times New Roman"/>
      <w:sz w:val="28"/>
      <w:szCs w:val="24"/>
    </w:rPr>
  </w:style>
  <w:style w:type="character" w:customStyle="1" w:styleId="170">
    <w:name w:val="批注主题 Char1"/>
    <w:basedOn w:val="162"/>
    <w:qFormat/>
    <w:uiPriority w:val="0"/>
    <w:rPr>
      <w:b/>
      <w:bCs/>
      <w:kern w:val="2"/>
      <w:sz w:val="21"/>
      <w:szCs w:val="24"/>
    </w:rPr>
  </w:style>
  <w:style w:type="character" w:customStyle="1" w:styleId="171">
    <w:name w:val="正文文本 2 Char"/>
    <w:basedOn w:val="25"/>
    <w:qFormat/>
    <w:locked/>
    <w:uiPriority w:val="0"/>
    <w:rPr>
      <w:rFonts w:hint="eastAsia" w:ascii="宋体" w:hAnsi="宋体" w:eastAsia="宋体"/>
      <w:sz w:val="28"/>
      <w:szCs w:val="21"/>
    </w:rPr>
  </w:style>
  <w:style w:type="character" w:customStyle="1" w:styleId="172">
    <w:name w:val="正文文本 2 Char1"/>
    <w:basedOn w:val="25"/>
    <w:qFormat/>
    <w:uiPriority w:val="0"/>
    <w:rPr>
      <w:rFonts w:hint="eastAsia" w:ascii="仿宋" w:hAnsi="仿宋" w:eastAsia="仿宋" w:cs="Times New Roman"/>
      <w:sz w:val="28"/>
      <w:szCs w:val="24"/>
    </w:rPr>
  </w:style>
  <w:style w:type="character" w:customStyle="1" w:styleId="173">
    <w:name w:val="批注主题 Char"/>
    <w:basedOn w:val="145"/>
    <w:qFormat/>
    <w:locked/>
    <w:uiPriority w:val="0"/>
    <w:rPr>
      <w:rFonts w:hint="eastAsia" w:ascii="仿宋" w:hAnsi="仿宋" w:eastAsia="仿宋" w:cs="Times New Roman"/>
      <w:b/>
      <w:bCs/>
      <w:sz w:val="28"/>
      <w:szCs w:val="24"/>
    </w:rPr>
  </w:style>
  <w:style w:type="character" w:customStyle="1" w:styleId="174">
    <w:name w:val="批注主题 Char2"/>
    <w:basedOn w:val="145"/>
    <w:qFormat/>
    <w:uiPriority w:val="0"/>
    <w:rPr>
      <w:rFonts w:hint="eastAsia" w:ascii="仿宋" w:hAnsi="仿宋" w:eastAsia="仿宋" w:cs="Times New Roman"/>
      <w:b/>
      <w:bCs/>
      <w:sz w:val="28"/>
      <w:szCs w:val="24"/>
    </w:rPr>
  </w:style>
  <w:style w:type="character" w:customStyle="1" w:styleId="175">
    <w:name w:val="日期 Char2"/>
    <w:basedOn w:val="25"/>
    <w:qFormat/>
    <w:uiPriority w:val="0"/>
    <w:rPr>
      <w:rFonts w:hint="eastAsia" w:ascii="仿宋" w:hAnsi="仿宋" w:eastAsia="仿宋"/>
      <w:kern w:val="2"/>
      <w:sz w:val="28"/>
      <w:szCs w:val="24"/>
    </w:rPr>
  </w:style>
  <w:style w:type="character" w:customStyle="1" w:styleId="176">
    <w:name w:val="s1"/>
    <w:basedOn w:val="25"/>
    <w:qFormat/>
    <w:uiPriority w:val="0"/>
    <w:rPr>
      <w:rFonts w:hint="default" w:ascii="Helvetica" w:hAnsi="Helvetica" w:eastAsia="Helvetica" w:cs="Helvetica"/>
      <w:sz w:val="24"/>
      <w:szCs w:val="24"/>
    </w:rPr>
  </w:style>
  <w:style w:type="paragraph" w:customStyle="1" w:styleId="177">
    <w:name w:val="font9"/>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78">
    <w:name w:val="font10"/>
    <w:basedOn w:val="1"/>
    <w:qFormat/>
    <w:uiPriority w:val="0"/>
    <w:pPr>
      <w:widowControl/>
      <w:spacing w:before="100" w:beforeAutospacing="1" w:after="100" w:afterAutospacing="1"/>
      <w:jc w:val="left"/>
    </w:pPr>
    <w:rPr>
      <w:rFonts w:ascii="宋体" w:hAnsi="宋体" w:eastAsia="宋体" w:cs="宋体"/>
      <w:kern w:val="0"/>
      <w:sz w:val="16"/>
      <w:szCs w:val="16"/>
    </w:rPr>
  </w:style>
  <w:style w:type="paragraph" w:customStyle="1" w:styleId="179">
    <w:name w:val="font11"/>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80">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81">
    <w:name w:val="xl12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82">
    <w:name w:val="xl12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83">
    <w:name w:val="xl12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84">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185">
    <w:name w:val="xl12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186">
    <w:name w:val="xl128"/>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187">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188">
    <w:name w:val="xl130"/>
    <w:basedOn w:val="1"/>
    <w:uiPriority w:val="0"/>
    <w:pPr>
      <w:widowControl/>
      <w:pBdr>
        <w:top w:val="single" w:color="auto" w:sz="4" w:space="0"/>
        <w:left w:val="single" w:color="auto" w:sz="4" w:space="0"/>
        <w:bottom w:val="single" w:color="auto" w:sz="4" w:space="0"/>
      </w:pBdr>
      <w:shd w:val="clear" w:color="000000" w:fill="DAEEF3"/>
      <w:spacing w:before="100" w:beforeAutospacing="1" w:after="100" w:afterAutospacing="1"/>
      <w:jc w:val="center"/>
    </w:pPr>
    <w:rPr>
      <w:rFonts w:ascii="Times New Roman" w:hAnsi="Times New Roman" w:eastAsia="宋体" w:cs="Times New Roman"/>
      <w:kern w:val="0"/>
      <w:sz w:val="18"/>
      <w:szCs w:val="18"/>
    </w:rPr>
  </w:style>
  <w:style w:type="paragraph" w:customStyle="1" w:styleId="189">
    <w:name w:val="xl131"/>
    <w:basedOn w:val="1"/>
    <w:qFormat/>
    <w:uiPriority w:val="0"/>
    <w:pPr>
      <w:widowControl/>
      <w:pBdr>
        <w:top w:val="single" w:color="auto" w:sz="4" w:space="0"/>
        <w:bottom w:val="single" w:color="auto" w:sz="4" w:space="0"/>
      </w:pBdr>
      <w:shd w:val="clear" w:color="000000" w:fill="DAEEF3"/>
      <w:spacing w:before="100" w:beforeAutospacing="1" w:after="100" w:afterAutospacing="1"/>
      <w:jc w:val="center"/>
    </w:pPr>
    <w:rPr>
      <w:rFonts w:ascii="Times New Roman" w:hAnsi="Times New Roman" w:eastAsia="宋体" w:cs="Times New Roman"/>
      <w:kern w:val="0"/>
      <w:sz w:val="18"/>
      <w:szCs w:val="18"/>
    </w:rPr>
  </w:style>
  <w:style w:type="paragraph" w:customStyle="1" w:styleId="190">
    <w:name w:val="xl132"/>
    <w:basedOn w:val="1"/>
    <w:qFormat/>
    <w:uiPriority w:val="0"/>
    <w:pPr>
      <w:widowControl/>
      <w:pBdr>
        <w:top w:val="single" w:color="auto" w:sz="4" w:space="0"/>
        <w:bottom w:val="single" w:color="auto" w:sz="4" w:space="0"/>
        <w:right w:val="single" w:color="auto" w:sz="4" w:space="0"/>
      </w:pBdr>
      <w:shd w:val="clear" w:color="000000" w:fill="DAEEF3"/>
      <w:spacing w:before="100" w:beforeAutospacing="1" w:after="100" w:afterAutospacing="1"/>
      <w:jc w:val="center"/>
    </w:pPr>
    <w:rPr>
      <w:rFonts w:ascii="Times New Roman" w:hAnsi="Times New Roman" w:eastAsia="宋体" w:cs="Times New Roman"/>
      <w:kern w:val="0"/>
      <w:sz w:val="18"/>
      <w:szCs w:val="18"/>
    </w:rPr>
  </w:style>
  <w:style w:type="paragraph" w:customStyle="1" w:styleId="191">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92">
    <w:name w:val="xl13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193">
    <w:name w:val="xl13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194">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DE9D9"/>
      <w:spacing w:before="100" w:beforeAutospacing="1" w:after="100" w:afterAutospacing="1"/>
      <w:jc w:val="center"/>
    </w:pPr>
    <w:rPr>
      <w:rFonts w:ascii="宋体" w:hAnsi="宋体" w:eastAsia="宋体" w:cs="宋体"/>
      <w:kern w:val="0"/>
      <w:sz w:val="18"/>
      <w:szCs w:val="18"/>
    </w:rPr>
  </w:style>
  <w:style w:type="paragraph" w:customStyle="1" w:styleId="195">
    <w:name w:val="xl13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96">
    <w:name w:val="xl138"/>
    <w:basedOn w:val="1"/>
    <w:qFormat/>
    <w:uiPriority w:val="0"/>
    <w:pPr>
      <w:widowControl/>
      <w:pBdr>
        <w:left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97">
    <w:name w:val="xl13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98">
    <w:name w:val="Default"/>
    <w:unhideWhenUsed/>
    <w:uiPriority w:val="99"/>
    <w:pPr>
      <w:widowControl w:val="0"/>
      <w:autoSpaceDE w:val="0"/>
      <w:autoSpaceDN w:val="0"/>
      <w:adjustRightInd w:val="0"/>
      <w:spacing w:beforeLines="0" w:afterLines="0"/>
    </w:pPr>
    <w:rPr>
      <w:rFonts w:hint="eastAsia" w:ascii="方正仿宋简体" w:hAnsi="方正仿宋简体" w:eastAsia="方正仿宋简体" w:cs="Times New Roman"/>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6114</Words>
  <Characters>34854</Characters>
  <Lines>290</Lines>
  <Paragraphs>81</Paragraphs>
  <TotalTime>3</TotalTime>
  <ScaleCrop>false</ScaleCrop>
  <LinksUpToDate>false</LinksUpToDate>
  <CharactersWithSpaces>40887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2020-03-04T08:14:00Z</dcterms:created>
  <dc:creator>13860</dc:creator>
  <cp:lastModifiedBy>Administrator</cp:lastModifiedBy>
  <dcterms:modified xsi:type="dcterms:W3CDTF">2020-10-23T08:19:57Z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